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83D5" w14:textId="77777777" w:rsidR="00640B8F"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6F726D13" w14:textId="77777777" w:rsidR="00640B8F"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13CF64EC" w14:textId="77777777" w:rsidR="00640B8F" w:rsidRDefault="00000000">
      <w:pPr>
        <w:pBdr>
          <w:top w:val="nil"/>
          <w:left w:val="nil"/>
          <w:bottom w:val="nil"/>
          <w:right w:val="nil"/>
          <w:between w:val="nil"/>
        </w:pBdr>
        <w:spacing w:after="6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Introduzione </w:t>
      </w:r>
    </w:p>
    <w:p w14:paraId="165F5E52" w14:textId="77777777" w:rsidR="00640B8F" w:rsidRDefault="00640B8F">
      <w:pPr>
        <w:pBdr>
          <w:top w:val="nil"/>
          <w:left w:val="nil"/>
          <w:bottom w:val="nil"/>
          <w:right w:val="nil"/>
          <w:between w:val="nil"/>
        </w:pBdr>
        <w:spacing w:line="240" w:lineRule="auto"/>
        <w:ind w:left="0" w:hanging="2"/>
        <w:rPr>
          <w:color w:val="000000"/>
        </w:rPr>
      </w:pPr>
    </w:p>
    <w:p w14:paraId="63B2262F"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46FD455"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1319301"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35E143D6"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1DF4449B"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3EF8BC4F" w14:textId="77777777" w:rsidR="00640B8F"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675CFFE8" w14:textId="77777777" w:rsidR="00640B8F"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75D265FB" w14:textId="77777777" w:rsidR="00640B8F" w:rsidRDefault="00640B8F">
      <w:pPr>
        <w:pBdr>
          <w:top w:val="nil"/>
          <w:left w:val="nil"/>
          <w:bottom w:val="nil"/>
          <w:right w:val="nil"/>
          <w:between w:val="nil"/>
        </w:pBdr>
        <w:spacing w:line="240" w:lineRule="auto"/>
        <w:ind w:left="0" w:hanging="2"/>
        <w:jc w:val="both"/>
        <w:rPr>
          <w:rFonts w:ascii="Garamond" w:eastAsia="Garamond" w:hAnsi="Garamond" w:cs="Garamond"/>
          <w:color w:val="000000"/>
        </w:rPr>
      </w:pPr>
    </w:p>
    <w:p w14:paraId="239F544F" w14:textId="77777777" w:rsidR="00640B8F"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DOCENTI della scuola si impegnano a:</w:t>
      </w:r>
    </w:p>
    <w:p w14:paraId="32721392"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Accogliere ogni alunno rispettando e valorizzando ogni identità personale.</w:t>
      </w:r>
    </w:p>
    <w:p w14:paraId="5D659CB5"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1E39AF56"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6083915"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 promuovere l’apprendimento cooperativo</w:t>
      </w:r>
    </w:p>
    <w:p w14:paraId="24828F01"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Promuovere atteggiamenti e comportamenti che educhino alla cittadinanza attiva.</w:t>
      </w:r>
    </w:p>
    <w:p w14:paraId="3FB4F1EE"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rPr>
        <w:t xml:space="preserve"> </w:t>
      </w:r>
      <w:r>
        <w:rPr>
          <w:rFonts w:ascii="Garamond" w:eastAsia="Garamond" w:hAnsi="Garamond" w:cs="Garamond"/>
          <w:color w:val="000000"/>
        </w:rPr>
        <w:t>criticità legate all’esperienza scolastica.</w:t>
      </w:r>
    </w:p>
    <w:p w14:paraId="1BB205C3"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Offrire un modello educativo coerente con le regole e le finalità della scuola.</w:t>
      </w:r>
    </w:p>
    <w:p w14:paraId="1793DC90"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Tenere informate le famiglie sull’andamento scolastico dei bambini.</w:t>
      </w:r>
    </w:p>
    <w:p w14:paraId="1E81482C"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w:t>
      </w:r>
    </w:p>
    <w:p w14:paraId="60BA7AE0" w14:textId="77777777" w:rsidR="00640B8F" w:rsidRDefault="00000000">
      <w:pPr>
        <w:numPr>
          <w:ilvl w:val="0"/>
          <w:numId w:val="4"/>
        </w:numPr>
        <w:pBdr>
          <w:top w:val="nil"/>
          <w:left w:val="nil"/>
          <w:bottom w:val="nil"/>
          <w:right w:val="nil"/>
          <w:between w:val="nil"/>
        </w:pBdr>
        <w:spacing w:line="240" w:lineRule="auto"/>
        <w:ind w:left="0" w:hanging="2"/>
        <w:rPr>
          <w:rFonts w:ascii="Garamond" w:eastAsia="Garamond" w:hAnsi="Garamond" w:cs="Garamond"/>
          <w:color w:val="000000"/>
        </w:rPr>
        <w:sectPr w:rsidR="00640B8F">
          <w:headerReference w:type="default" r:id="rId8"/>
          <w:footerReference w:type="default" r:id="rId9"/>
          <w:pgSz w:w="11906" w:h="16838"/>
          <w:pgMar w:top="709" w:right="849" w:bottom="1134" w:left="851" w:header="170" w:footer="170" w:gutter="0"/>
          <w:pgNumType w:start="1"/>
          <w:cols w:space="720"/>
        </w:sectPr>
      </w:pPr>
      <w:r>
        <w:rPr>
          <w:rFonts w:ascii="Garamond" w:eastAsia="Garamond" w:hAnsi="Garamond" w:cs="Garamond"/>
          <w:color w:val="000000"/>
        </w:rPr>
        <w:t>Accogliere al mattino gli alunni e consegnarli al termine delle attività didattiche, ai genitori o delegati, secondo il piano stabilito, per ogni classe, dal Consiglio di Interclasse</w:t>
      </w:r>
    </w:p>
    <w:p w14:paraId="6D08DABC" w14:textId="77777777" w:rsidR="00640B8F" w:rsidRDefault="00640B8F">
      <w:pPr>
        <w:pBdr>
          <w:top w:val="nil"/>
          <w:left w:val="nil"/>
          <w:bottom w:val="nil"/>
          <w:right w:val="nil"/>
          <w:between w:val="nil"/>
        </w:pBdr>
        <w:spacing w:line="240" w:lineRule="auto"/>
        <w:ind w:left="0" w:hanging="2"/>
        <w:jc w:val="both"/>
        <w:rPr>
          <w:rFonts w:ascii="Garamond" w:eastAsia="Garamond" w:hAnsi="Garamond" w:cs="Garamond"/>
          <w:color w:val="000000"/>
        </w:rPr>
      </w:pPr>
    </w:p>
    <w:p w14:paraId="07BC45B4"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Utilizzare i laboratori di cui è fornita la scuola in maniera rispondente alla loro funzione</w:t>
      </w:r>
    </w:p>
    <w:p w14:paraId="5CCAB0FA"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highlight w:val="white"/>
        </w:rPr>
        <w:tab/>
      </w:r>
    </w:p>
    <w:p w14:paraId="66F45590"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Prelevare e riporre sussidi e strumenti scolastici seguendo le modalità di registrazione definite dal Consiglio di Interclasse Tecnica</w:t>
      </w:r>
    </w:p>
    <w:p w14:paraId="468360FC" w14:textId="77777777" w:rsidR="00640B8F" w:rsidRDefault="00000000">
      <w:pPr>
        <w:numPr>
          <w:ilvl w:val="0"/>
          <w:numId w:val="4"/>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92C7E10" w14:textId="77777777" w:rsidR="00640B8F" w:rsidRDefault="00640B8F">
      <w:pPr>
        <w:pBdr>
          <w:top w:val="nil"/>
          <w:left w:val="nil"/>
          <w:bottom w:val="nil"/>
          <w:right w:val="nil"/>
          <w:between w:val="nil"/>
        </w:pBdr>
        <w:spacing w:line="240" w:lineRule="auto"/>
        <w:ind w:left="0" w:hanging="2"/>
        <w:jc w:val="both"/>
        <w:rPr>
          <w:rFonts w:ascii="Garamond" w:eastAsia="Garamond" w:hAnsi="Garamond" w:cs="Garamond"/>
          <w:color w:val="000000"/>
        </w:rPr>
      </w:pPr>
    </w:p>
    <w:p w14:paraId="7AECEF78" w14:textId="77777777" w:rsidR="00640B8F"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BAMBINI e le BAMBINE si impegnano a:</w:t>
      </w:r>
    </w:p>
    <w:p w14:paraId="6EABCF9E"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5048D882"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Usare parole cortesi per salutare, chiedere e ringraziare.</w:t>
      </w:r>
    </w:p>
    <w:p w14:paraId="15A6D3AA"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Rispettare gli ambienti comuni, gli arredi e gli strumenti messi a disposizione.</w:t>
      </w:r>
    </w:p>
    <w:p w14:paraId="3C12CB78"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Portare a termine le consegne e gli incarichi con responsabilità e cura.</w:t>
      </w:r>
    </w:p>
    <w:p w14:paraId="3814829A"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Divertirsi e giocare insieme. </w:t>
      </w:r>
    </w:p>
    <w:p w14:paraId="05E316C8" w14:textId="77777777" w:rsidR="00640B8F" w:rsidRDefault="00640B8F">
      <w:pPr>
        <w:pBdr>
          <w:top w:val="nil"/>
          <w:left w:val="nil"/>
          <w:bottom w:val="nil"/>
          <w:right w:val="nil"/>
          <w:between w:val="nil"/>
        </w:pBdr>
        <w:spacing w:line="240" w:lineRule="auto"/>
        <w:ind w:left="0" w:hanging="2"/>
        <w:jc w:val="both"/>
        <w:rPr>
          <w:rFonts w:ascii="Garamond" w:eastAsia="Garamond" w:hAnsi="Garamond" w:cs="Garamond"/>
          <w:color w:val="000000"/>
        </w:rPr>
      </w:pPr>
    </w:p>
    <w:p w14:paraId="73ED990C" w14:textId="77777777" w:rsidR="00640B8F"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GENITORI si impegnano a:</w:t>
      </w:r>
    </w:p>
    <w:p w14:paraId="7D154982"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4B1ECA6"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28D06FDA"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F5FC5FA"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Garantire una partecipazione attiva e costante alla vita scolastica in generale e a tutti gli eventi proposti, educativi, informativi e ricreativi;</w:t>
      </w:r>
    </w:p>
    <w:p w14:paraId="783AE21B"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0601214B"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Aiutare i figli a capire l'importanza del rispetto:</w:t>
      </w:r>
    </w:p>
    <w:p w14:paraId="7466FAE8" w14:textId="77777777" w:rsidR="00640B8F" w:rsidRDefault="00000000">
      <w:pPr>
        <w:numPr>
          <w:ilvl w:val="2"/>
          <w:numId w:val="3"/>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Delle regole della collettività e del convivere</w:t>
      </w:r>
    </w:p>
    <w:p w14:paraId="2DB48D1E" w14:textId="77777777" w:rsidR="00640B8F" w:rsidRDefault="00000000">
      <w:pPr>
        <w:numPr>
          <w:ilvl w:val="2"/>
          <w:numId w:val="3"/>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 xml:space="preserve">Degli spazi comuni e non, degli strumenti </w:t>
      </w:r>
    </w:p>
    <w:p w14:paraId="0296950A" w14:textId="77777777" w:rsidR="00640B8F" w:rsidRDefault="00000000">
      <w:pPr>
        <w:numPr>
          <w:ilvl w:val="2"/>
          <w:numId w:val="3"/>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Dei materiali propri e altrui</w:t>
      </w:r>
    </w:p>
    <w:p w14:paraId="65E04BA4" w14:textId="77777777" w:rsidR="00640B8F" w:rsidRDefault="00000000">
      <w:pPr>
        <w:numPr>
          <w:ilvl w:val="2"/>
          <w:numId w:val="3"/>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Degli orari e delle modalità di ingresso e di uscita</w:t>
      </w:r>
    </w:p>
    <w:p w14:paraId="68C2B675"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10DE9C38"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Astenersi dall’accedere alla scuola dopo l’orario delle lezioni per ritirare materiale scolastico dimenticato.</w:t>
      </w:r>
    </w:p>
    <w:p w14:paraId="471BD188"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Accertarsi che i bambini, all’ingresso a scuola, raggiungano l’atrio all’interno dell’edificio, spazio posto tra le porte a vetri, vigilato dai collaboratori scolastici</w:t>
      </w:r>
    </w:p>
    <w:p w14:paraId="1142294C"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323708C0"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45773D0"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Controllare quotidianamente il diario o apposito quaderno per prendere visione e firmare gli avvisi e comunicazioni inviate dal personale scolastico</w:t>
      </w:r>
    </w:p>
    <w:p w14:paraId="2A029FAC"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Utilizzare il diario o apposito quaderno per richiedere colloqui, inviare comunicazioni ai docenti</w:t>
      </w:r>
    </w:p>
    <w:p w14:paraId="41B44A4C"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Partecipare alle riunioni, incontri organizzati dalla scuola per cui si è stati convocati</w:t>
      </w:r>
    </w:p>
    <w:p w14:paraId="3C932405"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Valutare con attenzione quando sia opportuno rimandare il proprio figlio a scuola dopo un periodo di malattia</w:t>
      </w:r>
    </w:p>
    <w:p w14:paraId="73D9A88F" w14:textId="77777777" w:rsidR="00640B8F" w:rsidRDefault="00000000">
      <w:pPr>
        <w:numPr>
          <w:ilvl w:val="0"/>
          <w:numId w:val="5"/>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lastRenderedPageBreak/>
        <w:t>Condividere con i propri figli il patto di corresponsabilità (presentare e dialogare in merito al documento).</w:t>
      </w:r>
    </w:p>
    <w:p w14:paraId="00246080" w14:textId="77777777" w:rsidR="00640B8F" w:rsidRDefault="00640B8F">
      <w:pPr>
        <w:pBdr>
          <w:top w:val="nil"/>
          <w:left w:val="nil"/>
          <w:bottom w:val="nil"/>
          <w:right w:val="nil"/>
          <w:between w:val="nil"/>
        </w:pBdr>
        <w:spacing w:line="240" w:lineRule="auto"/>
        <w:ind w:left="0" w:hanging="2"/>
        <w:jc w:val="center"/>
        <w:rPr>
          <w:rFonts w:ascii="Garamond" w:eastAsia="Garamond" w:hAnsi="Garamond" w:cs="Garamond"/>
          <w:color w:val="000000"/>
        </w:rPr>
      </w:pPr>
    </w:p>
    <w:p w14:paraId="0E96CD5E" w14:textId="77777777" w:rsidR="00640B8F"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IL PERSONALE ATA si impegna a:</w:t>
      </w:r>
    </w:p>
    <w:p w14:paraId="4A5151D6"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Collaborare con i docenti e i genitori nel processo formativo ed educativo degli alunni</w:t>
      </w:r>
    </w:p>
    <w:p w14:paraId="2CBD59EA"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772F2385"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Curare la pulizia di aule, arredi e spazi scolastici</w:t>
      </w:r>
    </w:p>
    <w:p w14:paraId="6672AA63" w14:textId="77777777" w:rsidR="00640B8F" w:rsidRDefault="00000000">
      <w:pPr>
        <w:numPr>
          <w:ilvl w:val="0"/>
          <w:numId w:val="2"/>
        </w:num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Controllare che all’interno della scuola non circolino persone non autorizzate</w:t>
      </w:r>
    </w:p>
    <w:p w14:paraId="57FF8895" w14:textId="77777777" w:rsidR="00640B8F" w:rsidRDefault="00640B8F">
      <w:pPr>
        <w:pBdr>
          <w:top w:val="nil"/>
          <w:left w:val="nil"/>
          <w:bottom w:val="nil"/>
          <w:right w:val="nil"/>
          <w:between w:val="nil"/>
        </w:pBdr>
        <w:spacing w:after="160" w:line="240" w:lineRule="auto"/>
        <w:ind w:left="0" w:hanging="2"/>
        <w:jc w:val="both"/>
        <w:rPr>
          <w:rFonts w:ascii="Garamond" w:eastAsia="Garamond" w:hAnsi="Garamond" w:cs="Garamond"/>
          <w:color w:val="000000"/>
        </w:rPr>
      </w:pPr>
    </w:p>
    <w:p w14:paraId="01279632" w14:textId="658E2538" w:rsidR="00640B8F" w:rsidRDefault="00000000">
      <w:pPr>
        <w:pBdr>
          <w:top w:val="nil"/>
          <w:left w:val="nil"/>
          <w:bottom w:val="nil"/>
          <w:right w:val="nil"/>
          <w:between w:val="nil"/>
        </w:pBdr>
        <w:spacing w:after="24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LA CLASSE </w:t>
      </w:r>
      <w:r>
        <w:rPr>
          <w:rFonts w:ascii="Garamond" w:eastAsia="Garamond" w:hAnsi="Garamond" w:cs="Garamond"/>
          <w:b/>
        </w:rPr>
        <w:t xml:space="preserve">2^ C </w:t>
      </w:r>
      <w:r>
        <w:rPr>
          <w:rFonts w:ascii="Garamond" w:eastAsia="Garamond" w:hAnsi="Garamond" w:cs="Garamond"/>
          <w:b/>
          <w:color w:val="000000"/>
        </w:rPr>
        <w:t>si impegna a:</w:t>
      </w:r>
    </w:p>
    <w:p w14:paraId="66B9BC60"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spacing w:before="240"/>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Non portare a scuola oggetti e materiali diversi da quelli necessari all’attività didattica quotidiana</w:t>
      </w:r>
      <w:r w:rsidRPr="008505E9">
        <w:rPr>
          <w:rFonts w:ascii="Garamond" w:eastAsia="Garamond" w:hAnsi="Garamond" w:cs="Garamond"/>
          <w:sz w:val="28"/>
          <w:szCs w:val="28"/>
        </w:rPr>
        <w:t xml:space="preserve"> </w:t>
      </w:r>
    </w:p>
    <w:p w14:paraId="7E7CA243"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Merriweather" w:hAnsi="Garamond" w:cs="Merriweather"/>
          <w:sz w:val="28"/>
          <w:szCs w:val="28"/>
        </w:rPr>
      </w:pPr>
      <w:r w:rsidRPr="008505E9">
        <w:rPr>
          <w:rFonts w:ascii="Garamond" w:eastAsia="Merriweather" w:hAnsi="Garamond" w:cs="Merriweather"/>
          <w:sz w:val="28"/>
          <w:szCs w:val="28"/>
        </w:rPr>
        <w:t>Arrivare puntuali a scuola</w:t>
      </w:r>
      <w:r w:rsidRPr="008505E9">
        <w:rPr>
          <w:rFonts w:ascii="Garamond" w:eastAsia="Garamond" w:hAnsi="Garamond" w:cs="Garamond"/>
          <w:sz w:val="28"/>
          <w:szCs w:val="28"/>
        </w:rPr>
        <w:tab/>
        <w:t xml:space="preserve"> </w:t>
      </w:r>
      <w:r w:rsidRPr="008505E9">
        <w:rPr>
          <w:rFonts w:ascii="Garamond" w:eastAsia="Garamond" w:hAnsi="Garamond" w:cs="Garamond"/>
          <w:sz w:val="28"/>
          <w:szCs w:val="28"/>
        </w:rPr>
        <w:tab/>
      </w:r>
    </w:p>
    <w:p w14:paraId="0E69E585"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 xml:space="preserve">Rispettare i compagni, gli insegnanti e gli ambienti </w:t>
      </w:r>
    </w:p>
    <w:p w14:paraId="0F96D87D"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Comportarsi in modo adeguato ai diversi contesti</w:t>
      </w:r>
    </w:p>
    <w:p w14:paraId="28FBFD97"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Usare un linguaggio educato</w:t>
      </w:r>
    </w:p>
    <w:p w14:paraId="663C5CF3"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Non chiacchierare o disturbare durante le attività</w:t>
      </w:r>
    </w:p>
    <w:p w14:paraId="34C6C0FA"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ind w:left="1" w:hanging="3"/>
        <w:rPr>
          <w:rFonts w:ascii="Garamond" w:eastAsia="Merriweather" w:hAnsi="Garamond" w:cs="Merriweather"/>
          <w:color w:val="212529"/>
          <w:sz w:val="28"/>
          <w:szCs w:val="28"/>
        </w:rPr>
      </w:pPr>
      <w:r w:rsidRPr="008505E9">
        <w:rPr>
          <w:rFonts w:ascii="Garamond" w:eastAsia="Merriweather" w:hAnsi="Garamond" w:cs="Merriweather"/>
          <w:color w:val="212529"/>
          <w:sz w:val="28"/>
          <w:szCs w:val="28"/>
        </w:rPr>
        <w:t>Ascoltare e accettare i consigli e i richiami</w:t>
      </w:r>
    </w:p>
    <w:p w14:paraId="47E60379" w14:textId="77777777" w:rsidR="00640B8F" w:rsidRPr="008505E9" w:rsidRDefault="00000000">
      <w:pPr>
        <w:numPr>
          <w:ilvl w:val="0"/>
          <w:numId w:val="1"/>
        </w:numPr>
        <w:pBdr>
          <w:top w:val="single" w:sz="4" w:space="1" w:color="000000"/>
          <w:left w:val="single" w:sz="4" w:space="4" w:color="000000"/>
          <w:bottom w:val="single" w:sz="4" w:space="1" w:color="000000"/>
          <w:right w:val="single" w:sz="4" w:space="4" w:color="000000"/>
        </w:pBdr>
        <w:spacing w:after="240"/>
        <w:ind w:left="1" w:hanging="3"/>
        <w:rPr>
          <w:rFonts w:ascii="Garamond" w:eastAsia="Garamond" w:hAnsi="Garamond" w:cs="Garamond"/>
          <w:sz w:val="28"/>
          <w:szCs w:val="28"/>
        </w:rPr>
      </w:pPr>
      <w:r w:rsidRPr="008505E9">
        <w:rPr>
          <w:rFonts w:ascii="Garamond" w:eastAsia="Merriweather" w:hAnsi="Garamond" w:cs="Merriweather"/>
          <w:color w:val="212529"/>
          <w:sz w:val="28"/>
          <w:szCs w:val="28"/>
        </w:rPr>
        <w:t>Rendersi disponibili ad accogliere e aiutare tutti i compagni senza distinzione</w:t>
      </w:r>
    </w:p>
    <w:p w14:paraId="20A50359" w14:textId="3443AA90" w:rsidR="008505E9" w:rsidRDefault="008505E9">
      <w:pPr>
        <w:pBdr>
          <w:top w:val="nil"/>
          <w:left w:val="nil"/>
          <w:bottom w:val="nil"/>
          <w:right w:val="nil"/>
          <w:between w:val="nil"/>
        </w:pBdr>
        <w:spacing w:after="240" w:line="240" w:lineRule="auto"/>
        <w:ind w:left="0" w:hanging="2"/>
        <w:rPr>
          <w:rFonts w:ascii="Garamond" w:eastAsia="Garamond" w:hAnsi="Garamond" w:cs="Garamond"/>
          <w:b/>
          <w:color w:val="000000"/>
        </w:rPr>
      </w:pPr>
      <w:r>
        <w:rPr>
          <w:rFonts w:ascii="Garamond" w:eastAsia="Garamond" w:hAnsi="Garamond" w:cs="Garamond"/>
          <w:b/>
          <w:color w:val="000000"/>
        </w:rPr>
        <w:t>Rimini, 15 ottobre 2023</w:t>
      </w:r>
    </w:p>
    <w:p w14:paraId="5D837336" w14:textId="79E350F0" w:rsidR="00640B8F"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sectPr w:rsidR="00640B8F">
      <w:head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5844" w14:textId="77777777" w:rsidR="008A14A7" w:rsidRDefault="008A14A7">
      <w:pPr>
        <w:spacing w:line="240" w:lineRule="auto"/>
        <w:ind w:left="0" w:hanging="2"/>
      </w:pPr>
      <w:r>
        <w:separator/>
      </w:r>
    </w:p>
  </w:endnote>
  <w:endnote w:type="continuationSeparator" w:id="0">
    <w:p w14:paraId="56B1A9BD" w14:textId="77777777" w:rsidR="008A14A7" w:rsidRDefault="008A14A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89E0" w14:textId="77777777" w:rsidR="00640B8F"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505E9">
      <w:rPr>
        <w:noProof/>
        <w:color w:val="000000"/>
      </w:rPr>
      <w:t>1</w:t>
    </w:r>
    <w:r>
      <w:rPr>
        <w:color w:val="000000"/>
      </w:rPr>
      <w:fldChar w:fldCharType="end"/>
    </w:r>
  </w:p>
  <w:p w14:paraId="49F4231A" w14:textId="77777777" w:rsidR="00640B8F" w:rsidRDefault="00640B8F">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8A53" w14:textId="77777777" w:rsidR="008A14A7" w:rsidRDefault="008A14A7">
      <w:pPr>
        <w:spacing w:line="240" w:lineRule="auto"/>
        <w:ind w:left="0" w:hanging="2"/>
      </w:pPr>
      <w:r>
        <w:separator/>
      </w:r>
    </w:p>
  </w:footnote>
  <w:footnote w:type="continuationSeparator" w:id="0">
    <w:p w14:paraId="4D348737" w14:textId="77777777" w:rsidR="008A14A7" w:rsidRDefault="008A14A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455" w14:textId="77777777" w:rsidR="00640B8F" w:rsidRDefault="00640B8F">
    <w:pPr>
      <w:pBdr>
        <w:top w:val="nil"/>
        <w:left w:val="nil"/>
        <w:bottom w:val="nil"/>
        <w:right w:val="nil"/>
        <w:between w:val="nil"/>
      </w:pBdr>
      <w:tabs>
        <w:tab w:val="center" w:pos="4819"/>
        <w:tab w:val="right" w:pos="9638"/>
      </w:tabs>
      <w:spacing w:line="240" w:lineRule="auto"/>
      <w:ind w:left="0" w:hanging="2"/>
      <w:rPr>
        <w:color w:val="000000"/>
      </w:rPr>
    </w:pPr>
  </w:p>
  <w:tbl>
    <w:tblPr>
      <w:tblStyle w:val="a"/>
      <w:tblW w:w="10740" w:type="dxa"/>
      <w:tblInd w:w="-108" w:type="dxa"/>
      <w:tblLayout w:type="fixed"/>
      <w:tblLook w:val="0000" w:firstRow="0" w:lastRow="0" w:firstColumn="0" w:lastColumn="0" w:noHBand="0" w:noVBand="0"/>
    </w:tblPr>
    <w:tblGrid>
      <w:gridCol w:w="2376"/>
      <w:gridCol w:w="5954"/>
      <w:gridCol w:w="2410"/>
    </w:tblGrid>
    <w:tr w:rsidR="00640B8F" w14:paraId="4779D1EE" w14:textId="77777777">
      <w:tc>
        <w:tcPr>
          <w:tcW w:w="2376" w:type="dxa"/>
        </w:tcPr>
        <w:p w14:paraId="5B6E8DDF" w14:textId="77777777" w:rsidR="00640B8F"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14:anchorId="664F3F4B" wp14:editId="093C1298">
                <wp:extent cx="858520" cy="812800"/>
                <wp:effectExtent l="0" t="0" r="0" b="0"/>
                <wp:docPr id="109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3B45784F" w14:textId="77777777" w:rsidR="00640B8F"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60A1FC60" wp14:editId="415BE0B1">
                <wp:extent cx="544195" cy="616585"/>
                <wp:effectExtent l="0" t="0" r="0" b="0"/>
                <wp:docPr id="10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73252F6F" w14:textId="77777777" w:rsidR="00640B8F" w:rsidRDefault="00000000">
          <w:pPr>
            <w:pBdr>
              <w:top w:val="nil"/>
              <w:left w:val="nil"/>
              <w:bottom w:val="nil"/>
              <w:right w:val="nil"/>
              <w:between w:val="nil"/>
            </w:pBdr>
            <w:tabs>
              <w:tab w:val="center" w:pos="4819"/>
              <w:tab w:val="right" w:pos="9638"/>
            </w:tabs>
            <w:spacing w:line="240" w:lineRule="auto"/>
            <w:ind w:left="0" w:hanging="2"/>
            <w:jc w:val="center"/>
            <w:rPr>
              <w:color w:val="000000"/>
            </w:rPr>
          </w:pPr>
          <w:r>
            <w:rPr>
              <w:i/>
              <w:color w:val="000000"/>
            </w:rPr>
            <w:t>Ministero dell’Istruzione e del Merito</w:t>
          </w:r>
        </w:p>
      </w:tc>
      <w:tc>
        <w:tcPr>
          <w:tcW w:w="2410" w:type="dxa"/>
        </w:tcPr>
        <w:p w14:paraId="7499B320" w14:textId="77777777" w:rsidR="00640B8F"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noProof/>
              <w:color w:val="000000"/>
            </w:rPr>
            <w:drawing>
              <wp:inline distT="0" distB="0" distL="114300" distR="114300" wp14:anchorId="7CC7BCC4" wp14:editId="15A19C93">
                <wp:extent cx="721995" cy="640080"/>
                <wp:effectExtent l="0" t="0" r="0" b="0"/>
                <wp:docPr id="109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640B8F" w14:paraId="56DEF18D" w14:textId="77777777">
      <w:tc>
        <w:tcPr>
          <w:tcW w:w="2376" w:type="dxa"/>
        </w:tcPr>
        <w:p w14:paraId="27776251" w14:textId="77777777" w:rsidR="00640B8F" w:rsidRDefault="00640B8F">
          <w:pPr>
            <w:pBdr>
              <w:top w:val="nil"/>
              <w:left w:val="nil"/>
              <w:bottom w:val="nil"/>
              <w:right w:val="nil"/>
              <w:between w:val="nil"/>
            </w:pBdr>
            <w:tabs>
              <w:tab w:val="center" w:pos="4819"/>
              <w:tab w:val="right" w:pos="9638"/>
            </w:tabs>
            <w:spacing w:line="240" w:lineRule="auto"/>
            <w:ind w:left="0" w:hanging="2"/>
            <w:jc w:val="center"/>
            <w:rPr>
              <w:color w:val="000000"/>
            </w:rPr>
          </w:pPr>
        </w:p>
      </w:tc>
      <w:tc>
        <w:tcPr>
          <w:tcW w:w="5954" w:type="dxa"/>
        </w:tcPr>
        <w:p w14:paraId="2A038283" w14:textId="77777777" w:rsidR="00640B8F" w:rsidRDefault="00000000">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63B2A132" w14:textId="77777777" w:rsidR="00640B8F" w:rsidRDefault="00640B8F">
          <w:pPr>
            <w:pBdr>
              <w:top w:val="nil"/>
              <w:left w:val="nil"/>
              <w:bottom w:val="nil"/>
              <w:right w:val="nil"/>
              <w:between w:val="nil"/>
            </w:pBdr>
            <w:tabs>
              <w:tab w:val="center" w:pos="4819"/>
              <w:tab w:val="right" w:pos="9638"/>
            </w:tabs>
            <w:spacing w:line="240" w:lineRule="auto"/>
            <w:ind w:left="0" w:hanging="2"/>
            <w:jc w:val="center"/>
            <w:rPr>
              <w:color w:val="000000"/>
            </w:rPr>
          </w:pPr>
        </w:p>
      </w:tc>
    </w:tr>
  </w:tbl>
  <w:p w14:paraId="41E587C3" w14:textId="77777777" w:rsidR="00640B8F" w:rsidRDefault="00640B8F">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031" w14:textId="77777777" w:rsidR="00640B8F" w:rsidRDefault="00640B8F">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33D"/>
    <w:multiLevelType w:val="multilevel"/>
    <w:tmpl w:val="37A084A8"/>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FC45A5C"/>
    <w:multiLevelType w:val="multilevel"/>
    <w:tmpl w:val="C6764A9E"/>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F4A2E6A"/>
    <w:multiLevelType w:val="multilevel"/>
    <w:tmpl w:val="9D7881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76491628"/>
    <w:multiLevelType w:val="multilevel"/>
    <w:tmpl w:val="F996B78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2D44A0"/>
    <w:multiLevelType w:val="multilevel"/>
    <w:tmpl w:val="CCFC6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0861383">
    <w:abstractNumId w:val="4"/>
  </w:num>
  <w:num w:numId="2" w16cid:durableId="1465851807">
    <w:abstractNumId w:val="0"/>
  </w:num>
  <w:num w:numId="3" w16cid:durableId="30880327">
    <w:abstractNumId w:val="2"/>
  </w:num>
  <w:num w:numId="4" w16cid:durableId="6947855">
    <w:abstractNumId w:val="3"/>
  </w:num>
  <w:num w:numId="5" w16cid:durableId="45121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8F"/>
    <w:rsid w:val="00640B8F"/>
    <w:rsid w:val="008505E9"/>
    <w:rsid w:val="008A1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30D"/>
  <w15:docId w15:val="{DC75B925-D6DE-4540-972E-6F755EF0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libri Light" w:hAnsi="Calibri Light"/>
      <w:b/>
      <w:bCs/>
      <w:kern w:val="28"/>
      <w:sz w:val="32"/>
      <w:szCs w:val="32"/>
    </w:r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rPr>
      <w:lang/>
    </w:r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rPr>
      <w:lang/>
    </w:r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x8QSH2JqIdV8V7KGfQREtlmVcQ==">CgMxLjA4AHIhMTVhMFZSNjA1SFNHTEtQX1RaeGs2ZnV1eG9zLWVpcDRk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2023-10-19T20:16:00Z</dcterms:created>
  <dcterms:modified xsi:type="dcterms:W3CDTF">2023-10-19T20:16:00Z</dcterms:modified>
</cp:coreProperties>
</file>