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2B1F" w14:textId="77777777" w:rsidR="00107053" w:rsidRDefault="00000000">
      <w:pPr>
        <w:pBdr>
          <w:top w:val="nil"/>
          <w:left w:val="nil"/>
          <w:bottom w:val="nil"/>
          <w:right w:val="nil"/>
          <w:between w:val="nil"/>
        </w:pBdr>
        <w:spacing w:before="240" w:after="60" w:line="240" w:lineRule="auto"/>
        <w:ind w:left="1" w:hanging="3"/>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5E4340CA" w14:textId="77777777" w:rsidR="00107053" w:rsidRDefault="00000000">
      <w:pPr>
        <w:pBdr>
          <w:top w:val="nil"/>
          <w:left w:val="nil"/>
          <w:bottom w:val="nil"/>
          <w:right w:val="nil"/>
          <w:between w:val="nil"/>
        </w:pBdr>
        <w:spacing w:before="240" w:after="60" w:line="240" w:lineRule="auto"/>
        <w:ind w:left="1" w:hanging="3"/>
        <w:jc w:val="center"/>
        <w:rPr>
          <w:rFonts w:ascii="Garamond" w:eastAsia="Garamond" w:hAnsi="Garamond" w:cs="Garamond"/>
          <w:color w:val="000000"/>
          <w:sz w:val="32"/>
          <w:szCs w:val="32"/>
        </w:rPr>
      </w:pPr>
      <w:r>
        <w:rPr>
          <w:rFonts w:ascii="Garamond" w:eastAsia="Garamond" w:hAnsi="Garamond" w:cs="Garamond"/>
          <w:color w:val="000000"/>
          <w:sz w:val="32"/>
          <w:szCs w:val="32"/>
        </w:rPr>
        <w:t>Plesso “G. Rodari”</w:t>
      </w:r>
    </w:p>
    <w:p w14:paraId="5519813D" w14:textId="77777777" w:rsidR="00107053" w:rsidRDefault="00000000">
      <w:pPr>
        <w:pBdr>
          <w:top w:val="nil"/>
          <w:left w:val="nil"/>
          <w:bottom w:val="nil"/>
          <w:right w:val="nil"/>
          <w:between w:val="nil"/>
        </w:pBdr>
        <w:spacing w:after="60" w:line="240" w:lineRule="auto"/>
        <w:ind w:left="0" w:hanging="2"/>
        <w:jc w:val="center"/>
        <w:rPr>
          <w:rFonts w:ascii="Garamond" w:eastAsia="Garamond" w:hAnsi="Garamond" w:cs="Garamond"/>
          <w:color w:val="000000"/>
        </w:rPr>
      </w:pPr>
      <w:r>
        <w:rPr>
          <w:rFonts w:ascii="Garamond" w:eastAsia="Garamond" w:hAnsi="Garamond" w:cs="Garamond"/>
          <w:b/>
          <w:color w:val="000000"/>
        </w:rPr>
        <w:t xml:space="preserve">Introduzione </w:t>
      </w:r>
    </w:p>
    <w:p w14:paraId="4E7FE4AA" w14:textId="77777777" w:rsidR="00107053" w:rsidRDefault="00107053">
      <w:pPr>
        <w:pBdr>
          <w:top w:val="nil"/>
          <w:left w:val="nil"/>
          <w:bottom w:val="nil"/>
          <w:right w:val="nil"/>
          <w:between w:val="nil"/>
        </w:pBdr>
        <w:spacing w:line="276" w:lineRule="auto"/>
        <w:ind w:left="0" w:hanging="2"/>
        <w:rPr>
          <w:rFonts w:ascii="Garamond" w:eastAsia="Garamond" w:hAnsi="Garamond" w:cs="Garamond"/>
          <w:color w:val="000000"/>
        </w:rPr>
      </w:pPr>
    </w:p>
    <w:p w14:paraId="1B742FFE" w14:textId="77777777" w:rsidR="00107053"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5361DBC5" w14:textId="77777777" w:rsidR="00107053"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 xml:space="preserve">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w:t>
      </w:r>
      <w:r>
        <w:rPr>
          <w:rFonts w:ascii="Garamond" w:eastAsia="Garamond" w:hAnsi="Garamond" w:cs="Garamond"/>
        </w:rPr>
        <w:t>dell'identità</w:t>
      </w:r>
      <w:r>
        <w:rPr>
          <w:rFonts w:ascii="Garamond" w:eastAsia="Garamond" w:hAnsi="Garamond" w:cs="Garamond"/>
          <w:color w:val="000000"/>
        </w:rPr>
        <w:t xml:space="preserve"> di ciascuno.</w:t>
      </w:r>
    </w:p>
    <w:p w14:paraId="6C38ECC1" w14:textId="77777777" w:rsidR="00107053"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La scuola e la famiglia, come comunità educante, si impegnano a promuovere i processi di integrazione e di inclusione affinché ciascuno si senta accolto e senta, sempre, di appartenere ad una collettività unita e collaborativa.</w:t>
      </w:r>
    </w:p>
    <w:p w14:paraId="5EDFA04C" w14:textId="77777777" w:rsidR="00107053"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 xml:space="preserve">La promozione dei valori di rispetto e di accoglienza richiede il coinvolgimento di tutti i soggetti interessati per favorire il crescere di una cultura e di una società improntate all’ascolto reciproco e al dialogo. </w:t>
      </w:r>
    </w:p>
    <w:p w14:paraId="44156AF0" w14:textId="77777777" w:rsidR="00107053"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L’interiorizzazione di questi valori può avvenire solo per mezzo di una fattiva collaborazione tra la famiglia e la scuola con un’assunzione di responsabilità e doveri da parte di tutti.</w:t>
      </w:r>
    </w:p>
    <w:p w14:paraId="04B43F2D" w14:textId="77777777" w:rsidR="00107053"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 xml:space="preserve"> Pertanto la scuola persegue l’obiettivo di costruire una relazione di aiuto e scambio reciproco con i genitori condividendo con questi ultimi comuni finalità educative.</w:t>
      </w:r>
    </w:p>
    <w:p w14:paraId="11E8477D" w14:textId="77777777" w:rsidR="00107053" w:rsidRDefault="00000000">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b/>
          <w:color w:val="000000"/>
        </w:rPr>
        <w:tab/>
        <w:t>Il Piano Organizzativo di plesso costituisce parte integrante del Patto di Corresponsabilità (l’accettazione del primo comporta l’accettazione del secondo).</w:t>
      </w:r>
    </w:p>
    <w:p w14:paraId="170B4B59" w14:textId="77777777" w:rsidR="00107053" w:rsidRDefault="00107053">
      <w:pPr>
        <w:pBdr>
          <w:top w:val="nil"/>
          <w:left w:val="nil"/>
          <w:bottom w:val="nil"/>
          <w:right w:val="nil"/>
          <w:between w:val="nil"/>
        </w:pBdr>
        <w:spacing w:line="240" w:lineRule="auto"/>
        <w:ind w:left="0" w:hanging="2"/>
        <w:jc w:val="both"/>
        <w:rPr>
          <w:rFonts w:ascii="Garamond" w:eastAsia="Garamond" w:hAnsi="Garamond" w:cs="Garamond"/>
          <w:color w:val="000000"/>
        </w:rPr>
      </w:pPr>
    </w:p>
    <w:p w14:paraId="27564D01" w14:textId="77777777" w:rsidR="00107053"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t>I DOCENTI della scuola si impegnano a:</w:t>
      </w:r>
    </w:p>
    <w:p w14:paraId="34D4F7A1" w14:textId="77777777" w:rsidR="00107053"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Accogliere ogni alunno rispettando e valorizzando ogni identità personale.</w:t>
      </w:r>
    </w:p>
    <w:p w14:paraId="692CB447" w14:textId="77777777" w:rsidR="00107053"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Costruire percorsi in cui i bambini e le bambine siano stimolati e sostenuti nel raggiungimento progressivo della propria autonomia, affinché possano fare scelte, confrontarsi e costruire opinioni.</w:t>
      </w:r>
    </w:p>
    <w:p w14:paraId="730CEAFF" w14:textId="77777777" w:rsidR="00107053"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Favorire il clima di fiducia necessario al benessere psico-fisico dei bambini e all’apprendimento tenendo conto delle inclinazioni e delle attitudini individuali.</w:t>
      </w:r>
    </w:p>
    <w:p w14:paraId="51A0255B" w14:textId="77777777" w:rsidR="00107053"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Attuare interventi adeguati nei riguardi delle diversità per fare in modo che non diventino disuguaglianze, promuovere l’apprendimento cooperativo</w:t>
      </w:r>
    </w:p>
    <w:p w14:paraId="07C6037B" w14:textId="77777777" w:rsidR="00107053"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Promuovere atteggiamenti e comportamenti che educhino alla cittadinanza attiva.</w:t>
      </w:r>
    </w:p>
    <w:p w14:paraId="52803CFB" w14:textId="77777777" w:rsidR="00107053"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rPr>
        <w:t xml:space="preserve"> </w:t>
      </w:r>
      <w:r>
        <w:rPr>
          <w:rFonts w:ascii="Garamond" w:eastAsia="Garamond" w:hAnsi="Garamond" w:cs="Garamond"/>
          <w:color w:val="000000"/>
        </w:rPr>
        <w:t>criticità legate all’esperienza scolastica.</w:t>
      </w:r>
    </w:p>
    <w:p w14:paraId="1CB044F9" w14:textId="77777777" w:rsidR="00107053"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Offrire un modello educativo coerente con le regole e le finalità della scuola.</w:t>
      </w:r>
    </w:p>
    <w:p w14:paraId="3152CB7E" w14:textId="77777777" w:rsidR="00107053"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Tenere informate le famiglie sull’andamento scolastico dei bambini.</w:t>
      </w:r>
    </w:p>
    <w:p w14:paraId="50555BBE" w14:textId="77777777" w:rsidR="00107053"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Attuare interventi adeguati nei riguardi delle diversità per fare in modo che non diventino disuguaglianze</w:t>
      </w:r>
    </w:p>
    <w:p w14:paraId="75AD5FFC" w14:textId="77777777" w:rsidR="00107053"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Concordare, nelle assemblee di inizio anno, le modalità di relazione con le famiglie</w:t>
      </w:r>
    </w:p>
    <w:p w14:paraId="17485031" w14:textId="77777777" w:rsidR="00107053" w:rsidRDefault="00000000">
      <w:pPr>
        <w:numPr>
          <w:ilvl w:val="0"/>
          <w:numId w:val="4"/>
        </w:numPr>
        <w:pBdr>
          <w:top w:val="nil"/>
          <w:left w:val="nil"/>
          <w:bottom w:val="nil"/>
          <w:right w:val="nil"/>
          <w:between w:val="nil"/>
        </w:pBdr>
        <w:spacing w:line="240" w:lineRule="auto"/>
        <w:ind w:left="0" w:hanging="2"/>
        <w:rPr>
          <w:rFonts w:ascii="Garamond" w:eastAsia="Garamond" w:hAnsi="Garamond" w:cs="Garamond"/>
          <w:color w:val="000000"/>
        </w:rPr>
        <w:sectPr w:rsidR="00107053">
          <w:headerReference w:type="even" r:id="rId8"/>
          <w:headerReference w:type="default" r:id="rId9"/>
          <w:footerReference w:type="even" r:id="rId10"/>
          <w:footerReference w:type="default" r:id="rId11"/>
          <w:headerReference w:type="first" r:id="rId12"/>
          <w:footerReference w:type="first" r:id="rId13"/>
          <w:pgSz w:w="11906" w:h="16838"/>
          <w:pgMar w:top="709" w:right="849" w:bottom="993" w:left="851" w:header="170" w:footer="170" w:gutter="0"/>
          <w:pgNumType w:start="1"/>
          <w:cols w:space="720"/>
        </w:sectPr>
      </w:pPr>
      <w:r>
        <w:rPr>
          <w:rFonts w:ascii="Garamond" w:eastAsia="Garamond" w:hAnsi="Garamond" w:cs="Garamond"/>
          <w:color w:val="000000"/>
        </w:rPr>
        <w:t>Essere disponibili a colloqui straordinari, al di fuori di quelli stabiliti, in caso di emergenze e particolari esigenze delle famiglie</w:t>
      </w:r>
    </w:p>
    <w:p w14:paraId="4C393534" w14:textId="77777777" w:rsidR="00107053" w:rsidRDefault="00107053">
      <w:pPr>
        <w:pBdr>
          <w:top w:val="nil"/>
          <w:left w:val="nil"/>
          <w:bottom w:val="nil"/>
          <w:right w:val="nil"/>
          <w:between w:val="nil"/>
        </w:pBdr>
        <w:spacing w:line="240" w:lineRule="auto"/>
        <w:ind w:left="0" w:hanging="2"/>
        <w:jc w:val="both"/>
        <w:rPr>
          <w:rFonts w:ascii="Garamond" w:eastAsia="Garamond" w:hAnsi="Garamond" w:cs="Garamond"/>
          <w:color w:val="000000"/>
        </w:rPr>
      </w:pPr>
    </w:p>
    <w:p w14:paraId="49BAD7B8" w14:textId="77777777" w:rsidR="00107053" w:rsidRDefault="00000000">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color w:val="222222"/>
          <w:highlight w:val="white"/>
        </w:rPr>
        <w:tab/>
      </w:r>
      <w:r>
        <w:rPr>
          <w:rFonts w:ascii="Garamond" w:eastAsia="Garamond" w:hAnsi="Garamond" w:cs="Garamond"/>
          <w:color w:val="000000"/>
        </w:rPr>
        <w:t>Utilizzare il registro elettronico per informare le famiglie degli argomenti trattati e dei compiti assegnati</w:t>
      </w:r>
    </w:p>
    <w:p w14:paraId="1FF280CB" w14:textId="77777777" w:rsidR="00107053" w:rsidRDefault="00107053">
      <w:pPr>
        <w:pBdr>
          <w:top w:val="nil"/>
          <w:left w:val="nil"/>
          <w:bottom w:val="nil"/>
          <w:right w:val="nil"/>
          <w:between w:val="nil"/>
        </w:pBdr>
        <w:spacing w:line="240" w:lineRule="auto"/>
        <w:ind w:left="0" w:hanging="2"/>
        <w:jc w:val="both"/>
        <w:rPr>
          <w:rFonts w:ascii="Garamond" w:eastAsia="Garamond" w:hAnsi="Garamond" w:cs="Garamond"/>
          <w:color w:val="000000"/>
        </w:rPr>
      </w:pPr>
    </w:p>
    <w:p w14:paraId="3543A225" w14:textId="77777777" w:rsidR="00107053"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t>I BAMBINI e le BAMBINE si impegnano a:</w:t>
      </w:r>
    </w:p>
    <w:p w14:paraId="7EB03A55"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49BAC75D"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Usare parole cortesi per salutare, chiedere e ringraziare.</w:t>
      </w:r>
    </w:p>
    <w:p w14:paraId="1D7F17A0"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Rispettare gli ambienti comuni, gli arredi e gli strumenti messi a disposizione.</w:t>
      </w:r>
    </w:p>
    <w:p w14:paraId="2FBA0AA0"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Portare a termine le consegne e gli incarichi con responsabilità e cura.</w:t>
      </w:r>
    </w:p>
    <w:p w14:paraId="0F366A21"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 xml:space="preserve">Divertirsi e giocare insieme. </w:t>
      </w:r>
    </w:p>
    <w:p w14:paraId="35922AD6"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Rispettare i tempi e le modalità di apprendimento dei propri compagni</w:t>
      </w:r>
    </w:p>
    <w:p w14:paraId="43822C15"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 xml:space="preserve">Rispettare e </w:t>
      </w:r>
      <w:r>
        <w:rPr>
          <w:rFonts w:ascii="Garamond" w:eastAsia="Garamond" w:hAnsi="Garamond" w:cs="Garamond"/>
          <w:color w:val="000000"/>
          <w:u w:val="single"/>
        </w:rPr>
        <w:t>curare</w:t>
      </w:r>
      <w:r>
        <w:rPr>
          <w:rFonts w:ascii="Garamond" w:eastAsia="Garamond" w:hAnsi="Garamond" w:cs="Garamond"/>
          <w:color w:val="000000"/>
        </w:rPr>
        <w:t xml:space="preserve"> gli spazi verdi in particolare gli orti e il frutteto</w:t>
      </w:r>
    </w:p>
    <w:p w14:paraId="73E20162"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Avere cura degli arredi esterni e interni</w:t>
      </w:r>
    </w:p>
    <w:p w14:paraId="405C120D"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Riordinare la propria aula al termine delle attività di laboratorio</w:t>
      </w:r>
    </w:p>
    <w:p w14:paraId="272D4388"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Non sprecare il cibo (sia quello della mensa che la propria merenda)</w:t>
      </w:r>
    </w:p>
    <w:p w14:paraId="0E8484D6" w14:textId="77777777" w:rsidR="00107053" w:rsidRDefault="00107053">
      <w:pPr>
        <w:pBdr>
          <w:top w:val="nil"/>
          <w:left w:val="nil"/>
          <w:bottom w:val="nil"/>
          <w:right w:val="nil"/>
          <w:between w:val="nil"/>
        </w:pBdr>
        <w:spacing w:line="240" w:lineRule="auto"/>
        <w:ind w:left="0" w:hanging="2"/>
        <w:jc w:val="both"/>
        <w:rPr>
          <w:rFonts w:ascii="Garamond" w:eastAsia="Garamond" w:hAnsi="Garamond" w:cs="Garamond"/>
          <w:color w:val="000000"/>
        </w:rPr>
      </w:pPr>
    </w:p>
    <w:p w14:paraId="0CE8C3B6" w14:textId="77777777" w:rsidR="00107053"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t>I GENITORI si impegnano a:</w:t>
      </w:r>
    </w:p>
    <w:p w14:paraId="58A8D8E9"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60963A89"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7E507614"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 xml:space="preserve">Accompagnare i figli nel percorso di apprendimento, trasmettendo loro l'importanza ed il valore dell'esperienza scolastica nel proprio itinerario di crescita, supervisionando le attività e </w:t>
      </w:r>
      <w:r>
        <w:rPr>
          <w:rFonts w:ascii="Garamond" w:eastAsia="Garamond" w:hAnsi="Garamond" w:cs="Garamond"/>
        </w:rPr>
        <w:t>stimolando</w:t>
      </w:r>
      <w:r>
        <w:rPr>
          <w:rFonts w:ascii="Garamond" w:eastAsia="Garamond" w:hAnsi="Garamond" w:cs="Garamond"/>
          <w:color w:val="000000"/>
        </w:rPr>
        <w:t xml:space="preserve"> all'autonomia, valorizzando le conquiste ottenute e sostenendoli nelle difficoltà;</w:t>
      </w:r>
    </w:p>
    <w:p w14:paraId="6FCED513"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Garantire una partecipazione attiva e costante alla vita scolastica in generale e a tutti gli eventi proposti, educativi, informativi e ricreativi;</w:t>
      </w:r>
    </w:p>
    <w:p w14:paraId="6CD124D3"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2E7E9449"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Aiutare i figli a capire l'importanza del rispetto:</w:t>
      </w:r>
    </w:p>
    <w:p w14:paraId="490B8212" w14:textId="77777777" w:rsidR="00107053" w:rsidRDefault="00000000" w:rsidP="00C30856">
      <w:pPr>
        <w:numPr>
          <w:ilvl w:val="2"/>
          <w:numId w:val="3"/>
        </w:numPr>
        <w:pBdr>
          <w:top w:val="nil"/>
          <w:left w:val="nil"/>
          <w:bottom w:val="nil"/>
          <w:right w:val="nil"/>
          <w:between w:val="nil"/>
        </w:pBdr>
        <w:spacing w:line="240" w:lineRule="auto"/>
        <w:ind w:leftChars="414" w:left="1133" w:hangingChars="58" w:hanging="139"/>
        <w:jc w:val="both"/>
        <w:rPr>
          <w:rFonts w:ascii="Garamond" w:eastAsia="Garamond" w:hAnsi="Garamond" w:cs="Garamond"/>
          <w:color w:val="000000"/>
        </w:rPr>
      </w:pPr>
      <w:r>
        <w:rPr>
          <w:rFonts w:ascii="Garamond" w:eastAsia="Garamond" w:hAnsi="Garamond" w:cs="Garamond"/>
          <w:color w:val="000000"/>
        </w:rPr>
        <w:t>Delle regole della collettività e del convivere</w:t>
      </w:r>
    </w:p>
    <w:p w14:paraId="5989C64D" w14:textId="77777777" w:rsidR="00107053" w:rsidRDefault="00000000" w:rsidP="00C30856">
      <w:pPr>
        <w:numPr>
          <w:ilvl w:val="2"/>
          <w:numId w:val="3"/>
        </w:numPr>
        <w:pBdr>
          <w:top w:val="nil"/>
          <w:left w:val="nil"/>
          <w:bottom w:val="nil"/>
          <w:right w:val="nil"/>
          <w:between w:val="nil"/>
        </w:pBdr>
        <w:spacing w:line="240" w:lineRule="auto"/>
        <w:ind w:leftChars="414" w:left="1133" w:hangingChars="58" w:hanging="139"/>
        <w:jc w:val="both"/>
        <w:rPr>
          <w:rFonts w:ascii="Garamond" w:eastAsia="Garamond" w:hAnsi="Garamond" w:cs="Garamond"/>
          <w:color w:val="000000"/>
        </w:rPr>
      </w:pPr>
      <w:r>
        <w:rPr>
          <w:rFonts w:ascii="Garamond" w:eastAsia="Garamond" w:hAnsi="Garamond" w:cs="Garamond"/>
          <w:color w:val="000000"/>
        </w:rPr>
        <w:t xml:space="preserve">Degli spazi comuni e non, degli strumenti </w:t>
      </w:r>
    </w:p>
    <w:p w14:paraId="1589690B" w14:textId="77777777" w:rsidR="00107053" w:rsidRDefault="00000000" w:rsidP="00C30856">
      <w:pPr>
        <w:numPr>
          <w:ilvl w:val="2"/>
          <w:numId w:val="3"/>
        </w:numPr>
        <w:pBdr>
          <w:top w:val="nil"/>
          <w:left w:val="nil"/>
          <w:bottom w:val="nil"/>
          <w:right w:val="nil"/>
          <w:between w:val="nil"/>
        </w:pBdr>
        <w:spacing w:line="240" w:lineRule="auto"/>
        <w:ind w:leftChars="414" w:left="1133" w:hangingChars="58" w:hanging="139"/>
        <w:jc w:val="both"/>
        <w:rPr>
          <w:rFonts w:ascii="Garamond" w:eastAsia="Garamond" w:hAnsi="Garamond" w:cs="Garamond"/>
          <w:color w:val="000000"/>
        </w:rPr>
      </w:pPr>
      <w:r>
        <w:rPr>
          <w:rFonts w:ascii="Garamond" w:eastAsia="Garamond" w:hAnsi="Garamond" w:cs="Garamond"/>
          <w:color w:val="000000"/>
        </w:rPr>
        <w:t>Dei materiali propri e altrui</w:t>
      </w:r>
    </w:p>
    <w:p w14:paraId="538F8224" w14:textId="77777777" w:rsidR="00107053" w:rsidRDefault="00000000" w:rsidP="00C30856">
      <w:pPr>
        <w:numPr>
          <w:ilvl w:val="2"/>
          <w:numId w:val="3"/>
        </w:numPr>
        <w:pBdr>
          <w:top w:val="nil"/>
          <w:left w:val="nil"/>
          <w:bottom w:val="nil"/>
          <w:right w:val="nil"/>
          <w:between w:val="nil"/>
        </w:pBdr>
        <w:spacing w:line="240" w:lineRule="auto"/>
        <w:ind w:leftChars="414" w:left="1133" w:hangingChars="58" w:hanging="139"/>
        <w:jc w:val="both"/>
        <w:rPr>
          <w:rFonts w:ascii="Garamond" w:eastAsia="Garamond" w:hAnsi="Garamond" w:cs="Garamond"/>
          <w:color w:val="000000"/>
        </w:rPr>
      </w:pPr>
      <w:r>
        <w:rPr>
          <w:rFonts w:ascii="Garamond" w:eastAsia="Garamond" w:hAnsi="Garamond" w:cs="Garamond"/>
          <w:color w:val="000000"/>
        </w:rPr>
        <w:t>Degli orari e delle modalità di ingresso e di uscita</w:t>
      </w:r>
    </w:p>
    <w:p w14:paraId="4380934B" w14:textId="77777777" w:rsidR="00107053" w:rsidRDefault="00000000">
      <w:pPr>
        <w:numPr>
          <w:ilvl w:val="0"/>
          <w:numId w:val="1"/>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Aiutare i figli a preparare e curare il corredo scolastico astenendosi dal portare a scuola, durante gli orari di lezione, materiale didattico dimenticato a casa quando non espressamente richiesto.</w:t>
      </w:r>
    </w:p>
    <w:p w14:paraId="369F7385" w14:textId="77777777" w:rsidR="00107053" w:rsidRDefault="00000000">
      <w:pPr>
        <w:numPr>
          <w:ilvl w:val="0"/>
          <w:numId w:val="1"/>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Astenersi dall’accedere alla scuola dopo l’orario delle lezioni per ritirare materiale scolastico dimenticato.</w:t>
      </w:r>
    </w:p>
    <w:p w14:paraId="1E1F95E7" w14:textId="77777777" w:rsidR="00107053" w:rsidRDefault="00000000">
      <w:pPr>
        <w:numPr>
          <w:ilvl w:val="0"/>
          <w:numId w:val="1"/>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 xml:space="preserve">Non accedere con mezzi a motore al vialetto </w:t>
      </w:r>
      <w:r>
        <w:rPr>
          <w:rFonts w:ascii="Garamond" w:eastAsia="Garamond" w:hAnsi="Garamond" w:cs="Garamond"/>
        </w:rPr>
        <w:t>d'ingresso</w:t>
      </w:r>
      <w:r>
        <w:rPr>
          <w:rFonts w:ascii="Garamond" w:eastAsia="Garamond" w:hAnsi="Garamond" w:cs="Garamond"/>
          <w:color w:val="000000"/>
        </w:rPr>
        <w:t xml:space="preserve"> lasciando i mezzi stessi nelle aree adibite a parcheggio (ad eccezione degli insegnanti e dei residenti, che non devono effettuare pericolose manovre di uscita)</w:t>
      </w:r>
    </w:p>
    <w:p w14:paraId="3CC67790" w14:textId="77777777" w:rsidR="00107053" w:rsidRDefault="00000000">
      <w:pPr>
        <w:numPr>
          <w:ilvl w:val="0"/>
          <w:numId w:val="1"/>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Evitare assembramenti in prossimità dei cancelli e l’introduzione di animali all’interno del giardino della scuola</w:t>
      </w:r>
    </w:p>
    <w:p w14:paraId="24E5B571" w14:textId="77777777" w:rsidR="00107053" w:rsidRDefault="00000000">
      <w:pPr>
        <w:numPr>
          <w:ilvl w:val="0"/>
          <w:numId w:val="1"/>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Non accedere all’edificio scolastico in orario di lezione per futili motivi</w:t>
      </w:r>
    </w:p>
    <w:p w14:paraId="1B6E79A2" w14:textId="77777777" w:rsidR="00107053" w:rsidRDefault="00000000">
      <w:pPr>
        <w:numPr>
          <w:ilvl w:val="0"/>
          <w:numId w:val="1"/>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Utilizzare le giuste modalità (quaderno dedicato o diario o altre modalità concordate nelle assemblee di inizio anno scolastico) per comunicare con gli insegnanti concordando con loro le date e gli orari di colloquio individuale</w:t>
      </w:r>
    </w:p>
    <w:p w14:paraId="783CFD90" w14:textId="77777777" w:rsidR="00107053" w:rsidRDefault="00000000">
      <w:pPr>
        <w:numPr>
          <w:ilvl w:val="0"/>
          <w:numId w:val="1"/>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 xml:space="preserve">Comunicare tempestivamente ai docenti eventuali situazioni </w:t>
      </w:r>
      <w:r>
        <w:rPr>
          <w:rFonts w:ascii="Garamond" w:eastAsia="Garamond" w:hAnsi="Garamond" w:cs="Garamond"/>
        </w:rPr>
        <w:t>familiari</w:t>
      </w:r>
      <w:r>
        <w:rPr>
          <w:rFonts w:ascii="Garamond" w:eastAsia="Garamond" w:hAnsi="Garamond" w:cs="Garamond"/>
          <w:color w:val="000000"/>
        </w:rPr>
        <w:t xml:space="preserve"> che possano essere causa di turbamento nei bambini e che possano compromettere l’apprendimento e le relazioni nel gruppo</w:t>
      </w:r>
    </w:p>
    <w:p w14:paraId="56D8629D" w14:textId="77777777" w:rsidR="00107053" w:rsidRDefault="00000000">
      <w:pPr>
        <w:numPr>
          <w:ilvl w:val="0"/>
          <w:numId w:val="1"/>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Controllare rigorosamente i diari, gli avvisi e le circolari (firmandole)</w:t>
      </w:r>
    </w:p>
    <w:p w14:paraId="464C110E" w14:textId="77777777" w:rsidR="00107053" w:rsidRDefault="00000000">
      <w:pPr>
        <w:numPr>
          <w:ilvl w:val="0"/>
          <w:numId w:val="1"/>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Utilizzare i mezzi che la scuola mette a disposizione per rimanere aggiornati sul lavoro svolto in aula (registro elettronico)</w:t>
      </w:r>
    </w:p>
    <w:p w14:paraId="6F370EC4" w14:textId="77777777" w:rsidR="00107053" w:rsidRDefault="00000000">
      <w:pPr>
        <w:numPr>
          <w:ilvl w:val="0"/>
          <w:numId w:val="1"/>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Riconoscere e rispettare il ruolo dei collaboratori scolastici.</w:t>
      </w:r>
    </w:p>
    <w:p w14:paraId="2E3E5663" w14:textId="77777777" w:rsidR="00107053"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br w:type="page"/>
      </w:r>
      <w:r>
        <w:rPr>
          <w:rFonts w:ascii="Garamond" w:eastAsia="Garamond" w:hAnsi="Garamond" w:cs="Garamond"/>
          <w:b/>
          <w:color w:val="000000"/>
        </w:rPr>
        <w:lastRenderedPageBreak/>
        <w:t>IL PERSONALE ATA si impegna a:</w:t>
      </w:r>
    </w:p>
    <w:p w14:paraId="2884DE12"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Collaborare con i docenti e i genitori nel processo formativo ed educativo degli alunni</w:t>
      </w:r>
    </w:p>
    <w:p w14:paraId="0C4824AB"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Accogliere e sorvegliare gli alunni nei periodi antecedenti e successivi all’orario delle attività scolastiche, o qualora il personale docente dovesse allontanarsi dall'aula</w:t>
      </w:r>
    </w:p>
    <w:p w14:paraId="46B37C94"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Curare la pulizia di aule, arredi e spazi scolastici</w:t>
      </w:r>
    </w:p>
    <w:p w14:paraId="6EBF060A" w14:textId="77777777" w:rsidR="00107053"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Controllare che all’interno della scuola non circolino persone non autorizzate</w:t>
      </w:r>
    </w:p>
    <w:p w14:paraId="3157AA64" w14:textId="77777777" w:rsidR="00107053" w:rsidRDefault="00107053">
      <w:pPr>
        <w:pBdr>
          <w:top w:val="nil"/>
          <w:left w:val="nil"/>
          <w:bottom w:val="nil"/>
          <w:right w:val="nil"/>
          <w:between w:val="nil"/>
        </w:pBdr>
        <w:spacing w:after="160" w:line="240" w:lineRule="auto"/>
        <w:ind w:left="0" w:hanging="2"/>
        <w:jc w:val="both"/>
        <w:rPr>
          <w:rFonts w:ascii="Garamond" w:eastAsia="Garamond" w:hAnsi="Garamond" w:cs="Garamond"/>
          <w:color w:val="000000"/>
        </w:rPr>
      </w:pPr>
    </w:p>
    <w:p w14:paraId="0B308271" w14:textId="77777777" w:rsidR="00107053" w:rsidRDefault="00107053">
      <w:pPr>
        <w:pBdr>
          <w:top w:val="nil"/>
          <w:left w:val="nil"/>
          <w:bottom w:val="nil"/>
          <w:right w:val="nil"/>
          <w:between w:val="nil"/>
        </w:pBdr>
        <w:spacing w:after="160" w:line="240" w:lineRule="auto"/>
        <w:ind w:left="0" w:hanging="2"/>
        <w:jc w:val="both"/>
        <w:rPr>
          <w:rFonts w:ascii="Garamond" w:eastAsia="Garamond" w:hAnsi="Garamond" w:cs="Garamond"/>
          <w:color w:val="000000"/>
        </w:rPr>
      </w:pPr>
    </w:p>
    <w:p w14:paraId="5F08E0CC" w14:textId="7368644D" w:rsidR="00107053" w:rsidRDefault="00000000">
      <w:pPr>
        <w:pBdr>
          <w:top w:val="nil"/>
          <w:left w:val="nil"/>
          <w:bottom w:val="nil"/>
          <w:right w:val="nil"/>
          <w:between w:val="nil"/>
        </w:pBdr>
        <w:spacing w:after="240" w:line="240" w:lineRule="auto"/>
        <w:ind w:left="0" w:hanging="2"/>
        <w:jc w:val="center"/>
        <w:rPr>
          <w:rFonts w:ascii="Garamond" w:eastAsia="Garamond" w:hAnsi="Garamond" w:cs="Garamond"/>
          <w:color w:val="000000"/>
        </w:rPr>
      </w:pPr>
      <w:r>
        <w:rPr>
          <w:rFonts w:ascii="Garamond" w:eastAsia="Garamond" w:hAnsi="Garamond" w:cs="Garamond"/>
          <w:b/>
          <w:color w:val="000000"/>
        </w:rPr>
        <w:t>LA CLASSE 1</w:t>
      </w:r>
      <w:r w:rsidR="00C30856" w:rsidRPr="00C30856">
        <w:rPr>
          <w:rFonts w:ascii="Garamond" w:eastAsia="Garamond" w:hAnsi="Garamond" w:cs="Garamond"/>
          <w:b/>
          <w:color w:val="000000"/>
          <w:sz w:val="28"/>
          <w:szCs w:val="28"/>
          <w:vertAlign w:val="superscript"/>
        </w:rPr>
        <w:t>a</w:t>
      </w:r>
      <w:r>
        <w:rPr>
          <w:rFonts w:ascii="Garamond" w:eastAsia="Garamond" w:hAnsi="Garamond" w:cs="Garamond"/>
          <w:b/>
          <w:color w:val="000000"/>
        </w:rPr>
        <w:t xml:space="preserve"> A si impegna a:</w:t>
      </w:r>
    </w:p>
    <w:p w14:paraId="2E00E545" w14:textId="77777777" w:rsidR="00C30856" w:rsidRDefault="00C30856">
      <w:pPr>
        <w:pBdr>
          <w:top w:val="single" w:sz="4" w:space="1" w:color="000000"/>
          <w:left w:val="single" w:sz="4" w:space="4" w:color="000000"/>
          <w:bottom w:val="single" w:sz="4" w:space="1" w:color="000000"/>
          <w:right w:val="single" w:sz="4" w:space="4" w:color="000000"/>
          <w:between w:val="nil"/>
        </w:pBdr>
        <w:spacing w:after="240" w:line="240" w:lineRule="auto"/>
        <w:ind w:left="0" w:hanging="2"/>
        <w:jc w:val="center"/>
        <w:rPr>
          <w:rFonts w:ascii="Garamond" w:eastAsia="Garamond" w:hAnsi="Garamond" w:cs="Garamond"/>
        </w:rPr>
      </w:pPr>
    </w:p>
    <w:p w14:paraId="72A4D157" w14:textId="653499E5" w:rsidR="00107053" w:rsidRDefault="00000000">
      <w:pPr>
        <w:pBdr>
          <w:top w:val="single" w:sz="4" w:space="1" w:color="000000"/>
          <w:left w:val="single" w:sz="4" w:space="4" w:color="000000"/>
          <w:bottom w:val="single" w:sz="4" w:space="1" w:color="000000"/>
          <w:right w:val="single" w:sz="4" w:space="4" w:color="000000"/>
          <w:between w:val="nil"/>
        </w:pBdr>
        <w:spacing w:after="240" w:line="240" w:lineRule="auto"/>
        <w:ind w:left="0" w:hanging="2"/>
        <w:jc w:val="center"/>
        <w:rPr>
          <w:rFonts w:ascii="Garamond" w:eastAsia="Garamond" w:hAnsi="Garamond" w:cs="Garamond"/>
          <w:color w:val="000000"/>
        </w:rPr>
      </w:pPr>
      <w:r>
        <w:rPr>
          <w:rFonts w:ascii="Garamond" w:eastAsia="Garamond" w:hAnsi="Garamond" w:cs="Garamond"/>
        </w:rPr>
        <w:t>RISPETTARSI (ALUNNI, GENITORI, INSEGNANTI, COLLABORATORI), PER VIVERE QUESTO ANNO SCOLASTICO IN BENESSERE ED AIUTO RECIPROCO.</w:t>
      </w:r>
    </w:p>
    <w:p w14:paraId="37FFF1A3" w14:textId="77777777" w:rsidR="00107053" w:rsidRDefault="00107053">
      <w:pPr>
        <w:pBdr>
          <w:top w:val="single" w:sz="4" w:space="1" w:color="000000"/>
          <w:left w:val="single" w:sz="4" w:space="4" w:color="000000"/>
          <w:bottom w:val="single" w:sz="4" w:space="1" w:color="000000"/>
          <w:right w:val="single" w:sz="4" w:space="4" w:color="000000"/>
          <w:between w:val="nil"/>
        </w:pBdr>
        <w:spacing w:after="240" w:line="240" w:lineRule="auto"/>
        <w:ind w:left="0" w:hanging="2"/>
        <w:jc w:val="center"/>
        <w:rPr>
          <w:rFonts w:ascii="Garamond" w:eastAsia="Garamond" w:hAnsi="Garamond" w:cs="Garamond"/>
          <w:color w:val="000000"/>
        </w:rPr>
      </w:pPr>
    </w:p>
    <w:p w14:paraId="70E5DDF1" w14:textId="77777777" w:rsidR="00107053" w:rsidRDefault="00000000">
      <w:pPr>
        <w:pBdr>
          <w:top w:val="nil"/>
          <w:left w:val="nil"/>
          <w:bottom w:val="nil"/>
          <w:right w:val="nil"/>
          <w:between w:val="nil"/>
        </w:pBdr>
        <w:spacing w:after="240" w:line="240" w:lineRule="auto"/>
        <w:ind w:left="0" w:hanging="2"/>
        <w:rPr>
          <w:rFonts w:ascii="Garamond" w:eastAsia="Garamond" w:hAnsi="Garamond" w:cs="Garamond"/>
          <w:color w:val="000000"/>
        </w:rPr>
      </w:pPr>
      <w:r>
        <w:rPr>
          <w:rFonts w:ascii="Garamond" w:eastAsia="Garamond" w:hAnsi="Garamond" w:cs="Garamond"/>
          <w:b/>
          <w:color w:val="000000"/>
        </w:rPr>
        <w:t xml:space="preserve">Rimini, </w:t>
      </w:r>
    </w:p>
    <w:p w14:paraId="3D805DB0" w14:textId="77777777" w:rsidR="00107053" w:rsidRDefault="00000000">
      <w:pPr>
        <w:pBdr>
          <w:top w:val="nil"/>
          <w:left w:val="nil"/>
          <w:bottom w:val="nil"/>
          <w:right w:val="nil"/>
          <w:between w:val="nil"/>
        </w:pBdr>
        <w:spacing w:after="240" w:line="240" w:lineRule="auto"/>
        <w:ind w:left="0" w:hanging="2"/>
        <w:jc w:val="both"/>
        <w:rPr>
          <w:rFonts w:ascii="Garamond" w:eastAsia="Garamond" w:hAnsi="Garamond" w:cs="Garamond"/>
          <w:color w:val="000000"/>
        </w:rPr>
      </w:pPr>
      <w:r>
        <w:rPr>
          <w:rFonts w:ascii="Garamond" w:eastAsia="Garamond" w:hAnsi="Garamond" w:cs="Garamond"/>
          <w:b/>
          <w:color w:val="000000"/>
        </w:rPr>
        <w:t>Seguono le firme degli insegnanti della classe, dei genitori degli alunni e degli alunni medesimi.</w:t>
      </w:r>
    </w:p>
    <w:p w14:paraId="0096FB96" w14:textId="77777777" w:rsidR="00107053" w:rsidRDefault="00107053">
      <w:pPr>
        <w:pBdr>
          <w:top w:val="nil"/>
          <w:left w:val="nil"/>
          <w:bottom w:val="nil"/>
          <w:right w:val="nil"/>
          <w:between w:val="nil"/>
        </w:pBdr>
        <w:spacing w:after="240" w:line="240" w:lineRule="auto"/>
        <w:ind w:left="0" w:hanging="2"/>
        <w:jc w:val="right"/>
        <w:rPr>
          <w:rFonts w:ascii="Garamond" w:eastAsia="Garamond" w:hAnsi="Garamond" w:cs="Garamond"/>
          <w:color w:val="000000"/>
        </w:rPr>
      </w:pPr>
    </w:p>
    <w:sectPr w:rsidR="00107053">
      <w:headerReference w:type="default" r:id="rId14"/>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076F" w14:textId="77777777" w:rsidR="00F12144" w:rsidRDefault="00F12144">
      <w:pPr>
        <w:spacing w:line="240" w:lineRule="auto"/>
        <w:ind w:left="0" w:hanging="2"/>
      </w:pPr>
      <w:r>
        <w:separator/>
      </w:r>
    </w:p>
  </w:endnote>
  <w:endnote w:type="continuationSeparator" w:id="0">
    <w:p w14:paraId="019064A1" w14:textId="77777777" w:rsidR="00F12144" w:rsidRDefault="00F121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FCBA" w14:textId="77777777" w:rsidR="005F41CE" w:rsidRDefault="005F41CE">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5620" w14:textId="77777777" w:rsidR="00107053" w:rsidRDefault="00000000">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5F41CE">
      <w:rPr>
        <w:noProof/>
        <w:color w:val="000000"/>
      </w:rPr>
      <w:t>1</w:t>
    </w:r>
    <w:r>
      <w:rPr>
        <w:color w:val="000000"/>
      </w:rPr>
      <w:fldChar w:fldCharType="end"/>
    </w:r>
  </w:p>
  <w:p w14:paraId="39B2C68B" w14:textId="77777777" w:rsidR="00107053" w:rsidRDefault="00107053">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273E" w14:textId="77777777" w:rsidR="005F41CE" w:rsidRDefault="005F41CE">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EDBE" w14:textId="77777777" w:rsidR="00F12144" w:rsidRDefault="00F12144">
      <w:pPr>
        <w:spacing w:line="240" w:lineRule="auto"/>
        <w:ind w:left="0" w:hanging="2"/>
      </w:pPr>
      <w:r>
        <w:separator/>
      </w:r>
    </w:p>
  </w:footnote>
  <w:footnote w:type="continuationSeparator" w:id="0">
    <w:p w14:paraId="643D4343" w14:textId="77777777" w:rsidR="00F12144" w:rsidRDefault="00F1214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2F00" w14:textId="77777777" w:rsidR="005F41CE" w:rsidRDefault="005F41CE">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D59F" w14:textId="77777777" w:rsidR="00107053" w:rsidRDefault="00107053">
    <w:pPr>
      <w:pBdr>
        <w:top w:val="nil"/>
        <w:left w:val="nil"/>
        <w:bottom w:val="nil"/>
        <w:right w:val="nil"/>
        <w:between w:val="nil"/>
      </w:pBdr>
      <w:tabs>
        <w:tab w:val="center" w:pos="4819"/>
        <w:tab w:val="right" w:pos="9638"/>
      </w:tabs>
      <w:spacing w:line="240" w:lineRule="auto"/>
      <w:ind w:left="0" w:hanging="2"/>
      <w:rPr>
        <w:color w:val="000000"/>
      </w:rPr>
    </w:pPr>
  </w:p>
  <w:tbl>
    <w:tblPr>
      <w:tblStyle w:val="a0"/>
      <w:tblW w:w="10740" w:type="dxa"/>
      <w:tblInd w:w="-108" w:type="dxa"/>
      <w:tblLayout w:type="fixed"/>
      <w:tblLook w:val="0000" w:firstRow="0" w:lastRow="0" w:firstColumn="0" w:lastColumn="0" w:noHBand="0" w:noVBand="0"/>
    </w:tblPr>
    <w:tblGrid>
      <w:gridCol w:w="2376"/>
      <w:gridCol w:w="5954"/>
      <w:gridCol w:w="2410"/>
    </w:tblGrid>
    <w:tr w:rsidR="00107053" w14:paraId="63F56788" w14:textId="77777777">
      <w:tc>
        <w:tcPr>
          <w:tcW w:w="2376" w:type="dxa"/>
        </w:tcPr>
        <w:p w14:paraId="0913EC83" w14:textId="77777777" w:rsidR="00107053" w:rsidRDefault="00000000">
          <w:pPr>
            <w:pBdr>
              <w:top w:val="nil"/>
              <w:left w:val="nil"/>
              <w:bottom w:val="nil"/>
              <w:right w:val="nil"/>
              <w:between w:val="nil"/>
            </w:pBdr>
            <w:tabs>
              <w:tab w:val="center" w:pos="4819"/>
              <w:tab w:val="right" w:pos="9638"/>
            </w:tabs>
            <w:spacing w:line="240" w:lineRule="auto"/>
            <w:ind w:left="0" w:hanging="2"/>
            <w:rPr>
              <w:color w:val="000000"/>
            </w:rPr>
          </w:pPr>
          <w:r>
            <w:rPr>
              <w:noProof/>
              <w:color w:val="000000"/>
            </w:rPr>
            <w:drawing>
              <wp:inline distT="0" distB="0" distL="114300" distR="114300" wp14:anchorId="4753DB2E" wp14:editId="770C54BD">
                <wp:extent cx="858520" cy="812800"/>
                <wp:effectExtent l="0" t="0" r="0" b="0"/>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58520" cy="812800"/>
                        </a:xfrm>
                        <a:prstGeom prst="rect">
                          <a:avLst/>
                        </a:prstGeom>
                        <a:ln/>
                      </pic:spPr>
                    </pic:pic>
                  </a:graphicData>
                </a:graphic>
              </wp:inline>
            </w:drawing>
          </w:r>
        </w:p>
      </w:tc>
      <w:tc>
        <w:tcPr>
          <w:tcW w:w="5954" w:type="dxa"/>
        </w:tcPr>
        <w:p w14:paraId="5C651676" w14:textId="77777777" w:rsidR="00107053" w:rsidRDefault="00000000">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2F1BDF7B" wp14:editId="5B593F3C">
                <wp:extent cx="544195" cy="616585"/>
                <wp:effectExtent l="0" t="0" r="0" b="0"/>
                <wp:docPr id="10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544195" cy="616585"/>
                        </a:xfrm>
                        <a:prstGeom prst="rect">
                          <a:avLst/>
                        </a:prstGeom>
                        <a:ln/>
                      </pic:spPr>
                    </pic:pic>
                  </a:graphicData>
                </a:graphic>
              </wp:inline>
            </w:drawing>
          </w:r>
        </w:p>
        <w:p w14:paraId="2D1B818A" w14:textId="77777777" w:rsidR="00107053" w:rsidRDefault="00000000">
          <w:pPr>
            <w:pBdr>
              <w:top w:val="nil"/>
              <w:left w:val="nil"/>
              <w:bottom w:val="nil"/>
              <w:right w:val="nil"/>
              <w:between w:val="nil"/>
            </w:pBdr>
            <w:tabs>
              <w:tab w:val="center" w:pos="4819"/>
              <w:tab w:val="right" w:pos="9638"/>
            </w:tabs>
            <w:spacing w:line="240" w:lineRule="auto"/>
            <w:ind w:left="0" w:hanging="2"/>
            <w:jc w:val="center"/>
            <w:rPr>
              <w:color w:val="000000"/>
            </w:rPr>
          </w:pPr>
          <w:r>
            <w:rPr>
              <w:i/>
              <w:color w:val="000000"/>
            </w:rPr>
            <w:t>Ministero dell’Istruzione e del Merito</w:t>
          </w:r>
        </w:p>
      </w:tc>
      <w:tc>
        <w:tcPr>
          <w:tcW w:w="2410" w:type="dxa"/>
        </w:tcPr>
        <w:p w14:paraId="1345485A" w14:textId="77777777" w:rsidR="00107053" w:rsidRDefault="00000000">
          <w:pPr>
            <w:pBdr>
              <w:top w:val="nil"/>
              <w:left w:val="nil"/>
              <w:bottom w:val="nil"/>
              <w:right w:val="nil"/>
              <w:between w:val="nil"/>
            </w:pBdr>
            <w:tabs>
              <w:tab w:val="center" w:pos="4819"/>
              <w:tab w:val="right" w:pos="9638"/>
            </w:tabs>
            <w:spacing w:line="240" w:lineRule="auto"/>
            <w:ind w:left="0" w:hanging="2"/>
            <w:jc w:val="right"/>
            <w:rPr>
              <w:color w:val="000000"/>
            </w:rPr>
          </w:pPr>
          <w:r>
            <w:rPr>
              <w:noProof/>
              <w:color w:val="000000"/>
            </w:rPr>
            <w:drawing>
              <wp:inline distT="0" distB="0" distL="114300" distR="114300" wp14:anchorId="09DBBA91" wp14:editId="4D90F104">
                <wp:extent cx="721995" cy="640080"/>
                <wp:effectExtent l="0" t="0" r="0" b="0"/>
                <wp:docPr id="10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721995" cy="640080"/>
                        </a:xfrm>
                        <a:prstGeom prst="rect">
                          <a:avLst/>
                        </a:prstGeom>
                        <a:ln/>
                      </pic:spPr>
                    </pic:pic>
                  </a:graphicData>
                </a:graphic>
              </wp:inline>
            </w:drawing>
          </w:r>
        </w:p>
      </w:tc>
    </w:tr>
    <w:tr w:rsidR="00107053" w14:paraId="7C677543" w14:textId="77777777">
      <w:tc>
        <w:tcPr>
          <w:tcW w:w="2376" w:type="dxa"/>
        </w:tcPr>
        <w:p w14:paraId="5891A725" w14:textId="77777777" w:rsidR="00107053" w:rsidRDefault="00107053">
          <w:pPr>
            <w:pBdr>
              <w:top w:val="nil"/>
              <w:left w:val="nil"/>
              <w:bottom w:val="nil"/>
              <w:right w:val="nil"/>
              <w:between w:val="nil"/>
            </w:pBdr>
            <w:tabs>
              <w:tab w:val="center" w:pos="4819"/>
              <w:tab w:val="right" w:pos="9638"/>
            </w:tabs>
            <w:spacing w:line="240" w:lineRule="auto"/>
            <w:ind w:left="0" w:hanging="2"/>
            <w:jc w:val="center"/>
            <w:rPr>
              <w:color w:val="000000"/>
            </w:rPr>
          </w:pPr>
        </w:p>
      </w:tc>
      <w:tc>
        <w:tcPr>
          <w:tcW w:w="5954" w:type="dxa"/>
        </w:tcPr>
        <w:p w14:paraId="66C60F01" w14:textId="77777777" w:rsidR="00107053" w:rsidRDefault="00000000" w:rsidP="005F41CE">
          <w:pPr>
            <w:pBdr>
              <w:top w:val="nil"/>
              <w:left w:val="nil"/>
              <w:bottom w:val="nil"/>
              <w:right w:val="nil"/>
              <w:between w:val="nil"/>
            </w:pBdr>
            <w:spacing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0" w:type="dxa"/>
        </w:tcPr>
        <w:p w14:paraId="573A8E07" w14:textId="77777777" w:rsidR="00107053" w:rsidRDefault="00107053">
          <w:pPr>
            <w:pBdr>
              <w:top w:val="nil"/>
              <w:left w:val="nil"/>
              <w:bottom w:val="nil"/>
              <w:right w:val="nil"/>
              <w:between w:val="nil"/>
            </w:pBdr>
            <w:tabs>
              <w:tab w:val="center" w:pos="4819"/>
              <w:tab w:val="right" w:pos="9638"/>
            </w:tabs>
            <w:spacing w:line="240" w:lineRule="auto"/>
            <w:ind w:left="0" w:hanging="2"/>
            <w:jc w:val="center"/>
            <w:rPr>
              <w:color w:val="000000"/>
            </w:rPr>
          </w:pPr>
        </w:p>
      </w:tc>
    </w:tr>
  </w:tbl>
  <w:p w14:paraId="280A7990" w14:textId="77777777" w:rsidR="00107053" w:rsidRDefault="00107053">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C1FF" w14:textId="77777777" w:rsidR="005F41CE" w:rsidRDefault="005F41CE">
    <w:pPr>
      <w:pStyle w:val="Intestazione"/>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61F9" w14:textId="77777777" w:rsidR="00107053" w:rsidRDefault="00107053">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6DA8"/>
    <w:multiLevelType w:val="multilevel"/>
    <w:tmpl w:val="B0B6DC1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B6A66F8"/>
    <w:multiLevelType w:val="multilevel"/>
    <w:tmpl w:val="02FCB9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2" w15:restartNumberingAfterBreak="0">
    <w:nsid w:val="5A374B8C"/>
    <w:multiLevelType w:val="multilevel"/>
    <w:tmpl w:val="B614A33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4F26A6C"/>
    <w:multiLevelType w:val="multilevel"/>
    <w:tmpl w:val="2FA673C2"/>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694842996">
    <w:abstractNumId w:val="3"/>
  </w:num>
  <w:num w:numId="2" w16cid:durableId="1376193842">
    <w:abstractNumId w:val="0"/>
  </w:num>
  <w:num w:numId="3" w16cid:durableId="95365674">
    <w:abstractNumId w:val="1"/>
  </w:num>
  <w:num w:numId="4" w16cid:durableId="81028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53"/>
    <w:rsid w:val="00107053"/>
    <w:rsid w:val="005F41CE"/>
    <w:rsid w:val="006A7620"/>
    <w:rsid w:val="00C30856"/>
    <w:rsid w:val="00F121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E895"/>
  <w15:docId w15:val="{0CD07F17-F19F-4CA6-8ED1-E1CCFB26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uiPriority w:val="9"/>
    <w:qFormat/>
    <w:pPr>
      <w:spacing w:before="100" w:beforeAutospacing="1" w:after="100" w:afterAutospacing="1"/>
    </w:pPr>
    <w:rPr>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240" w:after="60"/>
      <w:jc w:val="center"/>
    </w:pPr>
    <w:rPr>
      <w:rFonts w:ascii="Calibri Light" w:hAnsi="Calibri Light"/>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styleId="NormaleWeb">
    <w:name w:val="Normal (Web)"/>
    <w:basedOn w:val="Normale"/>
    <w:pPr>
      <w:spacing w:before="100" w:beforeAutospacing="1" w:after="100" w:afterAutospacing="1"/>
    </w:pPr>
  </w:style>
  <w:style w:type="character" w:customStyle="1" w:styleId="apple-tab-span">
    <w:name w:val="apple-tab-span"/>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rPr>
      <w:lang/>
    </w:r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pPr>
      <w:tabs>
        <w:tab w:val="center" w:pos="4819"/>
        <w:tab w:val="right" w:pos="9638"/>
      </w:tabs>
    </w:pPr>
    <w:rPr>
      <w:lang/>
    </w:rPr>
  </w:style>
  <w:style w:type="character" w:customStyle="1" w:styleId="PidipaginaCarattere">
    <w:name w:val="Piè di pagina Carattere"/>
    <w:rPr>
      <w:w w:val="100"/>
      <w:position w:val="-1"/>
      <w:sz w:val="24"/>
      <w:szCs w:val="24"/>
      <w:effect w:val="none"/>
      <w:vertAlign w:val="baseline"/>
      <w:cs w:val="0"/>
      <w:em w:val="none"/>
    </w:rPr>
  </w:style>
  <w:style w:type="paragraph" w:styleId="Paragrafoelenco">
    <w:name w:val="List Paragraph"/>
    <w:basedOn w:val="Normale"/>
    <w:pPr>
      <w:ind w:left="720"/>
      <w:contextualSpacing/>
    </w:pPr>
  </w:style>
  <w:style w:type="character" w:styleId="Enfasicorsivo">
    <w:name w:val="Emphasis"/>
    <w:rPr>
      <w:i/>
      <w:iCs/>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Pr>
      <w:rFonts w:ascii="Calibri Light" w:eastAsia="Times New Roman" w:hAnsi="Calibri Light" w:cs="Times New Roman"/>
      <w:w w:val="100"/>
      <w:position w:val="-1"/>
      <w:sz w:val="24"/>
      <w:szCs w:val="24"/>
      <w:effect w:val="none"/>
      <w:vertAlign w:val="baseline"/>
      <w:cs w:val="0"/>
      <w:em w:val="none"/>
    </w:rPr>
  </w:style>
  <w:style w:type="character" w:customStyle="1" w:styleId="TitoloCarattere">
    <w:name w:val="Titolo Carattere"/>
    <w:rPr>
      <w:rFonts w:ascii="Calibri Light" w:eastAsia="Times New Roman" w:hAnsi="Calibri Light" w:cs="Times New Roman"/>
      <w:b/>
      <w:bCs/>
      <w:w w:val="100"/>
      <w:kern w:val="28"/>
      <w:position w:val="-1"/>
      <w:sz w:val="32"/>
      <w:szCs w:val="32"/>
      <w:effect w:val="none"/>
      <w:vertAlign w:val="baseline"/>
      <w:cs w:val="0"/>
      <w:em w:val="none"/>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sX1fCcoJmgFAMY/J388WgFINBg==">CgMxLjA4AHIhMXFzSzRUbkxzTmJTb1k4WWhsRFJQODF2cFZRMUF5ajBT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dc:creator>
  <cp:lastModifiedBy>nicoletta maggioli</cp:lastModifiedBy>
  <cp:revision>2</cp:revision>
  <dcterms:created xsi:type="dcterms:W3CDTF">2023-10-19T20:36:00Z</dcterms:created>
  <dcterms:modified xsi:type="dcterms:W3CDTF">2023-10-19T20:36:00Z</dcterms:modified>
</cp:coreProperties>
</file>