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51E9BB62"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8C268C">
        <w:rPr>
          <w:rFonts w:ascii="Garamond" w:eastAsia="Garamond" w:hAnsi="Garamond" w:cs="Garamond"/>
          <w:color w:val="000000"/>
          <w:sz w:val="32"/>
          <w:szCs w:val="32"/>
        </w:rPr>
        <w:t>Capriola</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43A44F69"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 xml:space="preserve">La scuola dell’infanzia la Capriola ha una lunga tradizione pedagogica di attività a sezioni aperte per la realizzazione di progetti comuni. </w:t>
      </w:r>
    </w:p>
    <w:p w14:paraId="11874D68"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b/>
        <w:t>Inoltre vengono attuati laboratori specifici per le diverse età dei bambini frequentanti, ad esempio, il laboratorio di psicomotricità legato al benessere psicofisico per i tre anni, il laboratorio di narrativa per i quattro anni centrato sull’educazione all’ascolto e alla comprensione verbale, il laboratorio di Coding che mira a sviluppare le capacità logico-progettuali per i cinque anni.</w:t>
      </w:r>
    </w:p>
    <w:p w14:paraId="0EB15598"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b/>
        <w:t>Un’ ulteriore caratteristica che ci accomuna alle altre scuole dell’infanzia del 6° circolo è quella del vivere esperienze all’aria aperta utilizzando e valorizzando gli spazi esterni della scuola.</w:t>
      </w:r>
    </w:p>
    <w:p w14:paraId="442D4E48" w14:textId="77777777" w:rsidR="00970A02" w:rsidRPr="00970A02" w:rsidRDefault="00970A02" w:rsidP="00970A02">
      <w:pPr>
        <w:spacing w:line="276" w:lineRule="auto"/>
        <w:jc w:val="both"/>
        <w:rPr>
          <w:rFonts w:ascii="Garamond" w:eastAsia="Garamond" w:hAnsi="Garamond" w:cs="Garamond"/>
          <w:color w:val="000000"/>
          <w:sz w:val="24"/>
          <w:szCs w:val="24"/>
        </w:rPr>
      </w:pPr>
    </w:p>
    <w:p w14:paraId="1921047D" w14:textId="686F0405" w:rsidR="00970A02" w:rsidRDefault="00970A02" w:rsidP="00970A02">
      <w:pPr>
        <w:spacing w:line="276" w:lineRule="auto"/>
        <w:jc w:val="center"/>
        <w:rPr>
          <w:rFonts w:ascii="Garamond" w:eastAsia="Garamond" w:hAnsi="Garamond" w:cs="Garamond"/>
          <w:b/>
          <w:bCs/>
          <w:color w:val="000000"/>
          <w:sz w:val="24"/>
          <w:szCs w:val="24"/>
        </w:rPr>
      </w:pPr>
      <w:r w:rsidRPr="00970A02">
        <w:rPr>
          <w:rFonts w:ascii="Garamond" w:eastAsia="Garamond" w:hAnsi="Garamond" w:cs="Garamond"/>
          <w:b/>
          <w:bCs/>
          <w:color w:val="000000"/>
          <w:sz w:val="24"/>
          <w:szCs w:val="24"/>
        </w:rPr>
        <w:t>I DOCENTI della scuola si impegnano a:</w:t>
      </w:r>
    </w:p>
    <w:p w14:paraId="05FA2EDA" w14:textId="77777777" w:rsidR="00970A02" w:rsidRPr="00970A02" w:rsidRDefault="00970A02" w:rsidP="00970A02">
      <w:pPr>
        <w:spacing w:line="276" w:lineRule="auto"/>
        <w:jc w:val="center"/>
        <w:rPr>
          <w:rFonts w:ascii="Garamond" w:eastAsia="Garamond" w:hAnsi="Garamond" w:cs="Garamond"/>
          <w:b/>
          <w:bCs/>
          <w:color w:val="000000"/>
          <w:sz w:val="16"/>
          <w:szCs w:val="16"/>
        </w:rPr>
      </w:pPr>
    </w:p>
    <w:p w14:paraId="22B5EB34"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Accogliere ogni alunno rispettando e valorizzando ogni identità personale.</w:t>
      </w:r>
    </w:p>
    <w:p w14:paraId="380D01C8"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660A31F7"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Favorire il clima di fiducia necessario al benessere psico-fisico dei bambini e all’apprendimento tenendo conto delle inclinazioni e delle attitudini individuali.</w:t>
      </w:r>
    </w:p>
    <w:p w14:paraId="302BC88B"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Attuare interventi adeguati nei riguardi delle diversità per fare in modo che non diventino disuguaglianze, promuovere l’apprendimento cooperativo</w:t>
      </w:r>
    </w:p>
    <w:p w14:paraId="1AB940FC"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Promuovere atteggiamenti e comportamenti che educhino alla cittadinanza attiva.</w:t>
      </w:r>
    </w:p>
    <w:p w14:paraId="2810A0D2"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20F66E29"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Offrire un modello educativo coerente con le regole e le finalità della scuola.</w:t>
      </w:r>
    </w:p>
    <w:p w14:paraId="28ECD484"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Tenere informate le famiglie sull’andamento scolastico dei bambini.</w:t>
      </w:r>
    </w:p>
    <w:p w14:paraId="20A19995"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Attuare interventi adeguati nei riguardi delle diversità per fare in modo che non diventino disuguaglianze</w:t>
      </w:r>
    </w:p>
    <w:p w14:paraId="728DA37F"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Realizzare momenti finalizzati alla condivisione laboratoriale e ricreativa con le famiglie</w:t>
      </w:r>
    </w:p>
    <w:p w14:paraId="3EC62C15"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Essere disponibili a colloqui straordinari, al di fuori di quelli stabiliti, in caso di emergenza e di particolari esigenze delle famiglie.</w:t>
      </w:r>
    </w:p>
    <w:p w14:paraId="5395FFAA" w14:textId="77777777" w:rsidR="00970A02" w:rsidRPr="00970A02" w:rsidRDefault="00970A02" w:rsidP="00970A02">
      <w:pPr>
        <w:pStyle w:val="NormaleWeb"/>
        <w:spacing w:before="0" w:beforeAutospacing="0" w:after="0" w:afterAutospacing="0" w:line="276" w:lineRule="auto"/>
        <w:ind w:left="720"/>
        <w:jc w:val="both"/>
        <w:rPr>
          <w:rFonts w:ascii="Garamond" w:eastAsia="Garamond" w:hAnsi="Garamond" w:cs="Garamond"/>
          <w:color w:val="000000"/>
        </w:rPr>
      </w:pPr>
    </w:p>
    <w:p w14:paraId="3C7DF506" w14:textId="1AF781D8" w:rsidR="00970A02" w:rsidRDefault="00970A02" w:rsidP="00970A02">
      <w:pPr>
        <w:spacing w:line="276" w:lineRule="auto"/>
        <w:jc w:val="center"/>
        <w:rPr>
          <w:rFonts w:ascii="Garamond" w:eastAsia="Garamond" w:hAnsi="Garamond" w:cs="Garamond"/>
          <w:b/>
          <w:bCs/>
          <w:color w:val="000000"/>
          <w:sz w:val="24"/>
          <w:szCs w:val="24"/>
        </w:rPr>
      </w:pPr>
      <w:r w:rsidRPr="00970A02">
        <w:rPr>
          <w:rFonts w:ascii="Garamond" w:eastAsia="Garamond" w:hAnsi="Garamond" w:cs="Garamond"/>
          <w:b/>
          <w:bCs/>
          <w:color w:val="000000"/>
          <w:sz w:val="24"/>
          <w:szCs w:val="24"/>
        </w:rPr>
        <w:t>I BAMBINI e le BAMBINE si impegnano a:</w:t>
      </w:r>
    </w:p>
    <w:p w14:paraId="243D068D" w14:textId="77777777" w:rsidR="00970A02" w:rsidRPr="00970A02" w:rsidRDefault="00970A02" w:rsidP="00970A02">
      <w:pPr>
        <w:spacing w:line="276" w:lineRule="auto"/>
        <w:jc w:val="center"/>
        <w:rPr>
          <w:rFonts w:ascii="Garamond" w:eastAsia="Garamond" w:hAnsi="Garamond" w:cs="Garamond"/>
          <w:b/>
          <w:bCs/>
          <w:color w:val="000000"/>
          <w:sz w:val="16"/>
          <w:szCs w:val="16"/>
        </w:rPr>
      </w:pPr>
    </w:p>
    <w:p w14:paraId="472DBFF8"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12A704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Usare parole cortesi per salutare, chiedere e ringraziare.</w:t>
      </w:r>
    </w:p>
    <w:p w14:paraId="14230055"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Rispettare gli ambienti comuni, gli arredi e gli strumenti messi a disposizione.</w:t>
      </w:r>
    </w:p>
    <w:p w14:paraId="1DD085D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Portare a termine le consegne e gli incarichi con responsabilità e cura.</w:t>
      </w:r>
    </w:p>
    <w:p w14:paraId="63AC1F9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 xml:space="preserve">Divertirsi e giocare insieme. </w:t>
      </w:r>
    </w:p>
    <w:p w14:paraId="5D45A9F1" w14:textId="77777777" w:rsidR="00970A02" w:rsidRPr="00970A02" w:rsidRDefault="00970A02" w:rsidP="00970A02">
      <w:pPr>
        <w:pStyle w:val="NormaleWeb"/>
        <w:spacing w:before="0" w:beforeAutospacing="0" w:after="0" w:afterAutospacing="0" w:line="276" w:lineRule="auto"/>
        <w:ind w:left="720"/>
        <w:jc w:val="both"/>
        <w:rPr>
          <w:rFonts w:ascii="Garamond" w:eastAsia="Garamond" w:hAnsi="Garamond" w:cs="Garamond"/>
          <w:color w:val="000000"/>
        </w:rPr>
      </w:pPr>
    </w:p>
    <w:p w14:paraId="54956F92" w14:textId="3E291D2B" w:rsidR="00970A02" w:rsidRDefault="00970A02" w:rsidP="00970A02">
      <w:pPr>
        <w:pStyle w:val="NormaleWeb"/>
        <w:spacing w:before="0" w:beforeAutospacing="0" w:after="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I GENITORI si impegnano a:</w:t>
      </w:r>
    </w:p>
    <w:p w14:paraId="4A50C0E7" w14:textId="77777777" w:rsidR="00970A02" w:rsidRPr="00970A02" w:rsidRDefault="00970A02" w:rsidP="00970A02">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03E618E6"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D55CF67"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50025D76"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5C856CE"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Garantire una partecipazione attiva e costante alla vita scolastica in generale e a tutti gli eventi proposti, educativi, informativi e ricreativi;</w:t>
      </w:r>
    </w:p>
    <w:p w14:paraId="71B6D5A1"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0E2E758E"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Aiutare i figli a capire l'importanza del rispetto:</w:t>
      </w:r>
    </w:p>
    <w:p w14:paraId="27608A00"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Delle regole della collettività e del convivere</w:t>
      </w:r>
    </w:p>
    <w:p w14:paraId="3D9AEB6E"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 xml:space="preserve">Degli spazi comuni e non, degli strumenti </w:t>
      </w:r>
    </w:p>
    <w:p w14:paraId="7B46B519"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Dei materiali propri e altrui</w:t>
      </w:r>
    </w:p>
    <w:p w14:paraId="629E6DA0"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Degli orari e delle modalità di ingresso e di uscita</w:t>
      </w:r>
    </w:p>
    <w:p w14:paraId="72E0828A" w14:textId="77777777" w:rsidR="00970A02" w:rsidRPr="00970A02" w:rsidRDefault="00970A02" w:rsidP="00970A02">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70A02">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29FCEC28" w14:textId="77777777" w:rsidR="00970A02" w:rsidRPr="00970A02" w:rsidRDefault="00970A02" w:rsidP="00970A02">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70A02">
        <w:rPr>
          <w:rFonts w:ascii="Garamond" w:eastAsia="Garamond" w:hAnsi="Garamond" w:cs="Garamond"/>
          <w:color w:val="000000"/>
        </w:rPr>
        <w:t>Astenersi dall’accedere alla scuola dopo l’orario delle lezioni per ritirare materiale scolastico dimenticato.</w:t>
      </w:r>
    </w:p>
    <w:p w14:paraId="66FC9677"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 xml:space="preserve">Condividere una partecipazione attiva e costante della vita scolastica, le proposte educative, informative e ricreative, la scelta dell’uso degli spazi esterni alla scuola come aula didattica decentrata, fornendo indumenti adeguati </w:t>
      </w:r>
      <w:proofErr w:type="gramStart"/>
      <w:r w:rsidRPr="00970A02">
        <w:rPr>
          <w:rFonts w:ascii="Garamond" w:eastAsia="Garamond" w:hAnsi="Garamond" w:cs="Garamond"/>
          <w:color w:val="000000"/>
          <w:sz w:val="24"/>
          <w:szCs w:val="24"/>
        </w:rPr>
        <w:t>per lo</w:t>
      </w:r>
      <w:proofErr w:type="gramEnd"/>
      <w:r w:rsidRPr="00970A02">
        <w:rPr>
          <w:rFonts w:ascii="Garamond" w:eastAsia="Garamond" w:hAnsi="Garamond" w:cs="Garamond"/>
          <w:color w:val="000000"/>
          <w:sz w:val="24"/>
          <w:szCs w:val="24"/>
        </w:rPr>
        <w:t xml:space="preserve"> svolgimento delle attività, esempio: stivali di gomma, cambi stagionali ecc.</w:t>
      </w:r>
    </w:p>
    <w:p w14:paraId="03254E91"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Accettare, valorizzare e sostenere l’altro al di fuori di sé</w:t>
      </w:r>
    </w:p>
    <w:p w14:paraId="4943C367"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Rispettare gli orari di entrata e di uscita e non sostare negli ambienti scolastici interni ed esterni dopo la chiusura dell’attività</w:t>
      </w:r>
    </w:p>
    <w:p w14:paraId="47AC1F23"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Riconoscere e rispettare il ruolo dei collaboratori scolastici</w:t>
      </w:r>
    </w:p>
    <w:p w14:paraId="31334E98" w14:textId="77777777" w:rsidR="00970A02" w:rsidRPr="00970A02" w:rsidRDefault="00970A02" w:rsidP="00970A02">
      <w:pPr>
        <w:pStyle w:val="Paragrafoelenco"/>
        <w:spacing w:line="276" w:lineRule="auto"/>
        <w:ind w:left="567"/>
        <w:jc w:val="both"/>
        <w:rPr>
          <w:rFonts w:ascii="Garamond" w:eastAsia="Garamond" w:hAnsi="Garamond" w:cs="Garamond"/>
          <w:color w:val="000000"/>
          <w:sz w:val="24"/>
          <w:szCs w:val="24"/>
        </w:rPr>
      </w:pPr>
    </w:p>
    <w:p w14:paraId="185ADEA2" w14:textId="474D579D" w:rsidR="00970A02" w:rsidRDefault="00970A02" w:rsidP="00970A02">
      <w:pPr>
        <w:pStyle w:val="NormaleWeb"/>
        <w:spacing w:before="0" w:beforeAutospacing="0" w:after="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IL PERSONALE ATA si impegna a:</w:t>
      </w:r>
    </w:p>
    <w:p w14:paraId="7D26FCFF" w14:textId="77777777" w:rsidR="00970A02" w:rsidRPr="00970A02" w:rsidRDefault="00970A02" w:rsidP="00970A02">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711BB647"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Collaborare con i docenti e i genitori nel processo formativo ed educativo degli alunni</w:t>
      </w:r>
    </w:p>
    <w:p w14:paraId="4F2CC24B"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0326A4DF"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Curare la pulizia di aule, arredi e spazi scolastici</w:t>
      </w:r>
    </w:p>
    <w:p w14:paraId="7C8FA885"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Controllare che all’interno della scuola non circolino persone non autorizzate</w:t>
      </w:r>
    </w:p>
    <w:p w14:paraId="2E40E849" w14:textId="77777777" w:rsidR="00970A02" w:rsidRPr="00970A02" w:rsidRDefault="00970A02" w:rsidP="00970A02">
      <w:pPr>
        <w:pStyle w:val="NormaleWeb"/>
        <w:spacing w:before="0" w:beforeAutospacing="0" w:after="160" w:afterAutospacing="0" w:line="276" w:lineRule="auto"/>
        <w:jc w:val="both"/>
        <w:rPr>
          <w:rFonts w:ascii="Garamond" w:eastAsia="Garamond" w:hAnsi="Garamond" w:cs="Garamond"/>
          <w:b/>
          <w:bCs/>
          <w:color w:val="000000"/>
        </w:rPr>
      </w:pPr>
    </w:p>
    <w:p w14:paraId="0B1C0D91" w14:textId="768C76F9" w:rsidR="00970A02" w:rsidRDefault="00970A02" w:rsidP="00970A02">
      <w:pPr>
        <w:pStyle w:val="NormaleWeb"/>
        <w:spacing w:before="0" w:beforeAutospacing="0" w:after="24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LA SEZIONE ………………………….  si impegna a:</w:t>
      </w:r>
    </w:p>
    <w:tbl>
      <w:tblPr>
        <w:tblStyle w:val="Grigliatabella"/>
        <w:tblW w:w="0" w:type="auto"/>
        <w:tblLook w:val="04A0" w:firstRow="1" w:lastRow="0" w:firstColumn="1" w:lastColumn="0" w:noHBand="0" w:noVBand="1"/>
      </w:tblPr>
      <w:tblGrid>
        <w:gridCol w:w="10196"/>
      </w:tblGrid>
      <w:tr w:rsidR="00970A02" w14:paraId="4B40EDB1" w14:textId="77777777" w:rsidTr="00970A02">
        <w:tc>
          <w:tcPr>
            <w:tcW w:w="10196" w:type="dxa"/>
          </w:tcPr>
          <w:p w14:paraId="5A8F6C77" w14:textId="77777777" w:rsidR="00970A02" w:rsidRDefault="00970A02" w:rsidP="00970A02">
            <w:pPr>
              <w:pStyle w:val="NormaleWeb"/>
              <w:spacing w:before="0" w:beforeAutospacing="0" w:after="240" w:afterAutospacing="0" w:line="276" w:lineRule="auto"/>
              <w:jc w:val="center"/>
              <w:rPr>
                <w:rFonts w:ascii="Garamond" w:eastAsia="Garamond" w:hAnsi="Garamond" w:cs="Garamond"/>
                <w:b/>
                <w:bCs/>
                <w:color w:val="000000"/>
              </w:rPr>
            </w:pPr>
          </w:p>
        </w:tc>
      </w:tr>
    </w:tbl>
    <w:p w14:paraId="05BD1749" w14:textId="77777777" w:rsidR="00970A02" w:rsidRPr="00970A02" w:rsidRDefault="00970A02" w:rsidP="00970A02">
      <w:pPr>
        <w:pStyle w:val="NormaleWeb"/>
        <w:spacing w:before="0" w:beforeAutospacing="0" w:after="240" w:afterAutospacing="0" w:line="276" w:lineRule="auto"/>
        <w:jc w:val="center"/>
        <w:rPr>
          <w:rFonts w:ascii="Garamond" w:eastAsia="Garamond" w:hAnsi="Garamond" w:cs="Garamond"/>
          <w:b/>
          <w:bCs/>
          <w:color w:val="000000"/>
        </w:rPr>
      </w:pPr>
    </w:p>
    <w:p w14:paraId="75C364AF" w14:textId="42BCAB69" w:rsidR="00984E22" w:rsidRDefault="00970A02" w:rsidP="00970A0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6D5A" w14:textId="77777777" w:rsidR="0044606A" w:rsidRDefault="0044606A">
      <w:r>
        <w:separator/>
      </w:r>
    </w:p>
  </w:endnote>
  <w:endnote w:type="continuationSeparator" w:id="0">
    <w:p w14:paraId="26FA284E" w14:textId="77777777" w:rsidR="0044606A" w:rsidRDefault="0044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9CE1" w14:textId="77777777" w:rsidR="0044606A" w:rsidRDefault="0044606A">
      <w:r>
        <w:separator/>
      </w:r>
    </w:p>
  </w:footnote>
  <w:footnote w:type="continuationSeparator" w:id="0">
    <w:p w14:paraId="54D2E708" w14:textId="77777777" w:rsidR="0044606A" w:rsidRDefault="0044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493961631">
    <w:abstractNumId w:val="9"/>
  </w:num>
  <w:num w:numId="12" w16cid:durableId="568538153">
    <w:abstractNumId w:val="11"/>
  </w:num>
  <w:num w:numId="13" w16cid:durableId="1214078703">
    <w:abstractNumId w:val="10"/>
  </w:num>
  <w:num w:numId="14" w16cid:durableId="894850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65DF"/>
    <w:rsid w:val="002259D2"/>
    <w:rsid w:val="00254D45"/>
    <w:rsid w:val="00261495"/>
    <w:rsid w:val="002C7937"/>
    <w:rsid w:val="003253A4"/>
    <w:rsid w:val="003355F1"/>
    <w:rsid w:val="0039584D"/>
    <w:rsid w:val="003D7DCE"/>
    <w:rsid w:val="003F18A7"/>
    <w:rsid w:val="00433D9D"/>
    <w:rsid w:val="004347A8"/>
    <w:rsid w:val="0044606A"/>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C268C"/>
    <w:rsid w:val="008D35AD"/>
    <w:rsid w:val="00952B20"/>
    <w:rsid w:val="00970A02"/>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970A02"/>
    <w:pPr>
      <w:spacing w:before="100" w:beforeAutospacing="1" w:after="100" w:afterAutospacing="1"/>
    </w:pPr>
    <w:rPr>
      <w:sz w:val="24"/>
      <w:szCs w:val="24"/>
    </w:rPr>
  </w:style>
  <w:style w:type="table" w:styleId="Grigliatabella">
    <w:name w:val="Table Grid"/>
    <w:basedOn w:val="Tabellanormale"/>
    <w:uiPriority w:val="39"/>
    <w:rsid w:val="0097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2417</Words>
  <Characters>13779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2022-10-06T20:58:00Z</dcterms:created>
  <dcterms:modified xsi:type="dcterms:W3CDTF">2022-10-06T21:01:00Z</dcterms:modified>
</cp:coreProperties>
</file>