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39D4" w14:textId="77777777" w:rsidR="00FC76AF" w:rsidRDefault="002A4E09">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3064D56" w14:textId="77777777" w:rsidR="00FC76AF" w:rsidRDefault="002A4E09">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“G. Rodari”</w:t>
      </w:r>
    </w:p>
    <w:p w14:paraId="03D1B57C" w14:textId="77777777" w:rsidR="00FC76AF" w:rsidRDefault="002A4E09">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1F2C1656" w14:textId="77777777" w:rsidR="00FC76AF" w:rsidRDefault="00FC76AF">
      <w:pPr>
        <w:pBdr>
          <w:top w:val="nil"/>
          <w:left w:val="nil"/>
          <w:bottom w:val="nil"/>
          <w:right w:val="nil"/>
          <w:between w:val="nil"/>
        </w:pBdr>
        <w:spacing w:line="276" w:lineRule="auto"/>
        <w:rPr>
          <w:rFonts w:ascii="Garamond" w:eastAsia="Garamond" w:hAnsi="Garamond" w:cs="Garamond"/>
          <w:color w:val="000000"/>
          <w:sz w:val="16"/>
          <w:szCs w:val="16"/>
        </w:rPr>
      </w:pPr>
    </w:p>
    <w:p w14:paraId="7961B53C"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472B064"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w:t>
      </w:r>
      <w:r>
        <w:rPr>
          <w:rFonts w:ascii="Garamond" w:eastAsia="Garamond" w:hAnsi="Garamond" w:cs="Garamond"/>
          <w:sz w:val="24"/>
          <w:szCs w:val="24"/>
        </w:rPr>
        <w:t>dell'identità</w:t>
      </w:r>
      <w:r>
        <w:rPr>
          <w:rFonts w:ascii="Garamond" w:eastAsia="Garamond" w:hAnsi="Garamond" w:cs="Garamond"/>
          <w:color w:val="000000"/>
          <w:sz w:val="24"/>
          <w:szCs w:val="24"/>
        </w:rPr>
        <w:t xml:space="preserve"> di ciascuno.</w:t>
      </w:r>
    </w:p>
    <w:p w14:paraId="2EE5ADE4"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3C4CDB32"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6B81DF0F"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705730BE"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BF5D13F" w14:textId="77777777" w:rsidR="00FC76AF" w:rsidRDefault="00FC76AF">
      <w:pPr>
        <w:pBdr>
          <w:top w:val="nil"/>
          <w:left w:val="nil"/>
          <w:bottom w:val="nil"/>
          <w:right w:val="nil"/>
          <w:between w:val="nil"/>
        </w:pBdr>
        <w:jc w:val="both"/>
        <w:rPr>
          <w:rFonts w:ascii="Garamond" w:eastAsia="Garamond" w:hAnsi="Garamond" w:cs="Garamond"/>
          <w:color w:val="000000"/>
          <w:sz w:val="16"/>
          <w:szCs w:val="16"/>
          <w:u w:val="single"/>
        </w:rPr>
      </w:pPr>
    </w:p>
    <w:p w14:paraId="00695135" w14:textId="77777777" w:rsidR="00FC76AF" w:rsidRDefault="002A4E09">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Impegni legati alla pandemia da Covid 19</w:t>
      </w:r>
    </w:p>
    <w:p w14:paraId="635D0045" w14:textId="77777777" w:rsidR="00FC76AF" w:rsidRDefault="00FC76AF">
      <w:pPr>
        <w:pBdr>
          <w:top w:val="nil"/>
          <w:left w:val="nil"/>
          <w:bottom w:val="nil"/>
          <w:right w:val="nil"/>
          <w:between w:val="nil"/>
        </w:pBdr>
        <w:jc w:val="both"/>
        <w:rPr>
          <w:rFonts w:ascii="Garamond" w:eastAsia="Garamond" w:hAnsi="Garamond" w:cs="Garamond"/>
          <w:color w:val="000000"/>
          <w:sz w:val="16"/>
          <w:szCs w:val="16"/>
          <w:u w:val="single"/>
        </w:rPr>
      </w:pPr>
    </w:p>
    <w:p w14:paraId="01E042BE"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136D3590"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53406D27" w14:textId="47B48614" w:rsidR="00FC76AF" w:rsidRPr="008F1900" w:rsidRDefault="002A4E09" w:rsidP="008F19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con opera educativa coerente la scuola nella formazione degli studenti in materia di comportamenti anti contagio.</w:t>
      </w:r>
    </w:p>
    <w:p w14:paraId="3F489DCE" w14:textId="77777777" w:rsidR="00BE0D55" w:rsidRDefault="002A4E09">
      <w:pPr>
        <w:pBdr>
          <w:top w:val="nil"/>
          <w:left w:val="nil"/>
          <w:bottom w:val="nil"/>
          <w:right w:val="nil"/>
          <w:between w:val="nil"/>
        </w:pBdr>
        <w:spacing w:line="276" w:lineRule="auto"/>
        <w:jc w:val="both"/>
        <w:rPr>
          <w:rFonts w:ascii="Garamond" w:eastAsia="Garamond" w:hAnsi="Garamond" w:cs="Garamond"/>
          <w:color w:val="000000"/>
          <w:sz w:val="24"/>
          <w:szCs w:val="24"/>
        </w:rPr>
        <w:sectPr w:rsidR="00BE0D55" w:rsidSect="00BE0D55">
          <w:headerReference w:type="even" r:id="rId7"/>
          <w:headerReference w:type="default" r:id="rId8"/>
          <w:footerReference w:type="even" r:id="rId9"/>
          <w:footerReference w:type="default" r:id="rId10"/>
          <w:headerReference w:type="first" r:id="rId11"/>
          <w:footerReference w:type="first" r:id="rId12"/>
          <w:pgSz w:w="11906" w:h="16838"/>
          <w:pgMar w:top="709" w:right="849" w:bottom="851" w:left="851" w:header="397" w:footer="283" w:gutter="0"/>
          <w:pgNumType w:start="1"/>
          <w:cols w:space="720"/>
          <w:docGrid w:linePitch="272"/>
        </w:sectPr>
      </w:pPr>
      <w:r>
        <w:rPr>
          <w:rFonts w:ascii="Garamond" w:eastAsia="Garamond" w:hAnsi="Garamond" w:cs="Garamond"/>
          <w:color w:val="000000"/>
          <w:sz w:val="24"/>
          <w:szCs w:val="24"/>
        </w:rPr>
        <w:tab/>
        <w:t>Prioritariamente, poiché all’ingresso a scuola NON è necessaria la misurazione della temperatura corporea, chiunque ha sintomatologia compatibile con Covid 19 o temperatura superiore a 37,5°C dovrà restare a casa.</w:t>
      </w:r>
    </w:p>
    <w:p w14:paraId="69A852CC" w14:textId="4618C4F4" w:rsidR="00FC76AF" w:rsidRDefault="00FC76AF">
      <w:pPr>
        <w:pBdr>
          <w:top w:val="nil"/>
          <w:left w:val="nil"/>
          <w:bottom w:val="nil"/>
          <w:right w:val="nil"/>
          <w:between w:val="nil"/>
        </w:pBdr>
        <w:spacing w:line="276" w:lineRule="auto"/>
        <w:jc w:val="both"/>
        <w:rPr>
          <w:color w:val="000000"/>
          <w:sz w:val="24"/>
          <w:szCs w:val="24"/>
        </w:rPr>
      </w:pPr>
    </w:p>
    <w:p w14:paraId="797D4FF2"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5770F012"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possibile rispettare il distanziamento)”</w:t>
      </w:r>
      <w:r>
        <w:rPr>
          <w:i/>
          <w:color w:val="000000"/>
          <w:sz w:val="24"/>
          <w:szCs w:val="24"/>
        </w:rPr>
        <w:t>.</w:t>
      </w:r>
    </w:p>
    <w:p w14:paraId="22B6D7CE"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 di età continuano ad essere esonerati dall’uso di dispositivi di protezione delle vie aeree”.</w:t>
      </w:r>
    </w:p>
    <w:p w14:paraId="5B81B793"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1A6C7605"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4DF85BB5"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4BE309F1"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60013E90"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AC9F640"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agevolare i contatti con il Dirigente scolastico e il Dipartimento ASL.</w:t>
      </w:r>
    </w:p>
    <w:p w14:paraId="20F8CA39" w14:textId="77777777" w:rsidR="00FC76AF" w:rsidRDefault="00FC76AF">
      <w:pPr>
        <w:pBdr>
          <w:top w:val="nil"/>
          <w:left w:val="nil"/>
          <w:bottom w:val="nil"/>
          <w:right w:val="nil"/>
          <w:between w:val="nil"/>
        </w:pBdr>
        <w:jc w:val="both"/>
        <w:rPr>
          <w:rFonts w:ascii="Garamond" w:eastAsia="Garamond" w:hAnsi="Garamond" w:cs="Garamond"/>
          <w:color w:val="000000"/>
          <w:sz w:val="24"/>
          <w:szCs w:val="24"/>
          <w:u w:val="single"/>
        </w:rPr>
      </w:pPr>
    </w:p>
    <w:p w14:paraId="03729F70" w14:textId="77777777" w:rsidR="00FC76AF" w:rsidRDefault="002A4E09">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5F5B3E0A" w14:textId="77777777" w:rsidR="00FC76AF" w:rsidRDefault="00FC76AF">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4A67E1DF"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le classi prime saranno tenute a svolgere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almeno 11-15 ore settimanali on-line.</w:t>
      </w:r>
    </w:p>
    <w:p w14:paraId="0E50F27E"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w:t>
      </w:r>
      <w:r>
        <w:rPr>
          <w:rFonts w:ascii="Garamond" w:eastAsia="Garamond" w:hAnsi="Garamond" w:cs="Garamond"/>
          <w:sz w:val="24"/>
          <w:szCs w:val="24"/>
        </w:rPr>
        <w:t>gsuite</w:t>
      </w:r>
      <w:r>
        <w:rPr>
          <w:rFonts w:ascii="Garamond" w:eastAsia="Garamond" w:hAnsi="Garamond" w:cs="Garamond"/>
          <w:color w:val="000000"/>
          <w:sz w:val="24"/>
          <w:szCs w:val="24"/>
        </w:rPr>
        <w:t xml:space="preserve"> deliberato, ma nel contempo ad astenersi da una condotta invasiva nella lezione e nel rapporto docente-alunni, anche nel rispetto della privacy degli altri convenuti all’incontro sincrono.</w:t>
      </w:r>
    </w:p>
    <w:p w14:paraId="52739461"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scaricare i materiali per tempo, seguendo le indicazioni fornite e supportando i figli nell’organizzazione, specie nel primo periodo.</w:t>
      </w:r>
    </w:p>
    <w:p w14:paraId="37102774" w14:textId="77777777" w:rsidR="00FC76AF" w:rsidRDefault="002A4E09">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scuola si impegna a cercare di creare un orario che agevoli la partecipazione di tutti e a fornire supporto a chi ne avesse bisogno, anche in modo individuale (Animatore digitale ed insegnanti di classe), in modo che </w:t>
      </w:r>
      <w:r>
        <w:rPr>
          <w:rFonts w:ascii="Garamond" w:eastAsia="Garamond" w:hAnsi="Garamond" w:cs="Garamond"/>
          <w:color w:val="000000"/>
          <w:sz w:val="24"/>
          <w:szCs w:val="24"/>
        </w:rPr>
        <w:lastRenderedPageBreak/>
        <w:t>l’eventuale divario di competenze tra le famiglie non si traduca in diminuzione delle opportunità per il singolo alunno.</w:t>
      </w:r>
    </w:p>
    <w:p w14:paraId="01C65B4C" w14:textId="77777777" w:rsidR="00FC76AF" w:rsidRDefault="00FC76AF">
      <w:pPr>
        <w:pBdr>
          <w:top w:val="nil"/>
          <w:left w:val="nil"/>
          <w:bottom w:val="nil"/>
          <w:right w:val="nil"/>
          <w:between w:val="nil"/>
        </w:pBdr>
        <w:rPr>
          <w:rFonts w:ascii="Garamond" w:eastAsia="Garamond" w:hAnsi="Garamond" w:cs="Garamond"/>
          <w:color w:val="000000"/>
          <w:sz w:val="16"/>
          <w:szCs w:val="16"/>
          <w:u w:val="single"/>
        </w:rPr>
      </w:pPr>
    </w:p>
    <w:p w14:paraId="31A91108" w14:textId="77777777" w:rsidR="00FC76AF" w:rsidRDefault="002A4E09">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corresponsabilità e legate all’emergenza Covid 19, sostituiscono o integrano le indicazioni delle varie sezioni dei plessi che seguono.</w:t>
      </w:r>
    </w:p>
    <w:p w14:paraId="3DFF3002" w14:textId="77777777" w:rsidR="00FC76AF" w:rsidRDefault="002A4E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t>In caso di contraddizioni tra affermazioni presenti nell’introduzione del Patto di Corresponsabilità e le sezioni dello stesso si considera prioritario quanto riportato in questa parte introduttiva.</w:t>
      </w:r>
    </w:p>
    <w:p w14:paraId="01E18DE1" w14:textId="77777777" w:rsidR="00FC76AF" w:rsidRDefault="00FC76AF">
      <w:pPr>
        <w:pBdr>
          <w:top w:val="nil"/>
          <w:left w:val="nil"/>
          <w:bottom w:val="nil"/>
          <w:right w:val="nil"/>
          <w:between w:val="nil"/>
        </w:pBdr>
        <w:jc w:val="both"/>
        <w:rPr>
          <w:rFonts w:ascii="Garamond" w:eastAsia="Garamond" w:hAnsi="Garamond" w:cs="Garamond"/>
          <w:color w:val="000000"/>
          <w:sz w:val="24"/>
          <w:szCs w:val="24"/>
        </w:rPr>
      </w:pPr>
    </w:p>
    <w:p w14:paraId="450C9959" w14:textId="77777777" w:rsidR="00FC76AF" w:rsidRDefault="002A4E09">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0F63D669"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042533EB"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2457393"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5D6F8087"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19A2A8BE"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10303181"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Valorizzare la famiglia come risorsa, offrendo occasioni in cui condividere modalità comuni </w:t>
      </w:r>
      <w:r>
        <w:rPr>
          <w:rFonts w:ascii="Garamond" w:eastAsia="Garamond" w:hAnsi="Garamond" w:cs="Garamond"/>
          <w:sz w:val="24"/>
          <w:szCs w:val="24"/>
        </w:rPr>
        <w:t>di intervento</w:t>
      </w:r>
      <w:r>
        <w:rPr>
          <w:rFonts w:ascii="Garamond" w:eastAsia="Garamond" w:hAnsi="Garamond" w:cs="Garamond"/>
          <w:color w:val="000000"/>
          <w:sz w:val="24"/>
          <w:szCs w:val="24"/>
        </w:rPr>
        <w:t xml:space="preserve">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23E7E959"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2EFB9C0"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11B5B9FE" w14:textId="77777777" w:rsidR="00FC76AF" w:rsidRDefault="002A4E09">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03AD0471" w14:textId="77777777" w:rsidR="00FC76AF" w:rsidRDefault="002A4E09">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1F901B40" w14:textId="77777777" w:rsidR="00FC76AF" w:rsidRDefault="002A4E09">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76722290" w14:textId="77777777" w:rsidR="00FC76AF" w:rsidRDefault="002A4E09">
      <w:pPr>
        <w:numPr>
          <w:ilvl w:val="0"/>
          <w:numId w:val="4"/>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13A4F6FC" w14:textId="77777777" w:rsidR="00FC76AF" w:rsidRDefault="00FC76AF">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3AA3E103" w14:textId="77777777" w:rsidR="00FC76AF" w:rsidRDefault="002A4E09">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BFC0429"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4E386B17"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5713528"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43113DA3"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7766498"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63FDCE8B"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1AE99499"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0DF66CDB"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41BAB4AC"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32B1FD48"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714E81FA" w14:textId="77777777" w:rsidR="00FC76AF" w:rsidRDefault="00FC76AF">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BDD5751" w14:textId="77777777" w:rsidR="00FC76AF" w:rsidRDefault="002A4E09">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256BB63D"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303B06B9"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637DA266" w14:textId="77777777" w:rsidR="00FC76AF" w:rsidRDefault="002A4E09">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222222"/>
          <w:sz w:val="24"/>
          <w:szCs w:val="24"/>
          <w:highlight w:val="white"/>
        </w:rPr>
        <w:lastRenderedPageBreak/>
        <w:tab/>
      </w:r>
      <w:r>
        <w:rPr>
          <w:rFonts w:ascii="Garamond" w:eastAsia="Garamond" w:hAnsi="Garamond" w:cs="Garamond"/>
          <w:color w:val="000000"/>
          <w:sz w:val="24"/>
          <w:szCs w:val="24"/>
        </w:rPr>
        <w:t xml:space="preserve">Accompagnare i figli nel percorso di apprendimento, trasmettendo loro l'importanza ed il valore dell'esperienza scolastica nel proprio itinerario di crescita, supervisionando le attività e </w:t>
      </w:r>
      <w:r>
        <w:rPr>
          <w:rFonts w:ascii="Garamond" w:eastAsia="Garamond" w:hAnsi="Garamond" w:cs="Garamond"/>
          <w:sz w:val="24"/>
          <w:szCs w:val="24"/>
        </w:rPr>
        <w:t>stimolando</w:t>
      </w:r>
      <w:r>
        <w:rPr>
          <w:rFonts w:ascii="Garamond" w:eastAsia="Garamond" w:hAnsi="Garamond" w:cs="Garamond"/>
          <w:color w:val="000000"/>
          <w:sz w:val="24"/>
          <w:szCs w:val="24"/>
        </w:rPr>
        <w:t xml:space="preserve"> l'autonomia, valorizzando le conquiste ottenute e sostenendoli nelle difficoltà;</w:t>
      </w:r>
    </w:p>
    <w:p w14:paraId="65CC0FEC"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608BCE03"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E6B3DE7"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2332A794" w14:textId="77777777" w:rsidR="00FC76AF" w:rsidRDefault="002A4E09">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69539887" w14:textId="77777777" w:rsidR="00FC76AF" w:rsidRDefault="002A4E09">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70F62FC" w14:textId="77777777" w:rsidR="00FC76AF" w:rsidRDefault="002A4E09">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345545A0" w14:textId="77777777" w:rsidR="00FC76AF" w:rsidRDefault="002A4E09">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465CCA11"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70C0B7D4"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2C592F10"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746F33C7"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6922579F"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65885231"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39C5FD10"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 xml:space="preserve">Comunicare tempestivamente ai docenti eventuali situazioni </w:t>
      </w:r>
      <w:r>
        <w:rPr>
          <w:rFonts w:ascii="Garamond" w:eastAsia="Garamond" w:hAnsi="Garamond" w:cs="Garamond"/>
          <w:sz w:val="24"/>
          <w:szCs w:val="24"/>
        </w:rPr>
        <w:t>familiari</w:t>
      </w:r>
      <w:r>
        <w:rPr>
          <w:rFonts w:ascii="Garamond" w:eastAsia="Garamond" w:hAnsi="Garamond" w:cs="Garamond"/>
          <w:color w:val="000000"/>
          <w:sz w:val="24"/>
          <w:szCs w:val="24"/>
        </w:rPr>
        <w:t xml:space="preserve"> che possano essere causa di turbamento nei bambini e che possano compromettere l’apprendimento e le relazioni nel gruppo</w:t>
      </w:r>
    </w:p>
    <w:p w14:paraId="7B8A31CA"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7FA5108F"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7A7939A7" w14:textId="77777777" w:rsidR="00FC76AF" w:rsidRDefault="002A4E09">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17A5B7AD" w14:textId="77777777" w:rsidR="00FC76AF" w:rsidRDefault="00FC76AF">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4B843300" w14:textId="77777777" w:rsidR="00FC76AF" w:rsidRDefault="002A4E09">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9A567F5"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991FD7E"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0B69C4D"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7896DB0F" w14:textId="77777777" w:rsidR="00FC76AF" w:rsidRDefault="002A4E09">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4E5ECB48" w14:textId="77777777" w:rsidR="00FC76AF" w:rsidRDefault="00FC76AF">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6DC927FF" w14:textId="4D54ED12" w:rsidR="00FC76AF" w:rsidRDefault="002A4E09" w:rsidP="00BE0D55">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 4A si impegna a:</w:t>
      </w: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FC76AF" w14:paraId="62E299BB" w14:textId="77777777">
        <w:tc>
          <w:tcPr>
            <w:tcW w:w="10091" w:type="dxa"/>
          </w:tcPr>
          <w:p w14:paraId="22CA781C" w14:textId="77777777" w:rsidR="00BE0D55" w:rsidRPr="00BE0D55" w:rsidRDefault="00BE0D55">
            <w:pPr>
              <w:pBdr>
                <w:top w:val="nil"/>
                <w:left w:val="nil"/>
                <w:bottom w:val="nil"/>
                <w:right w:val="nil"/>
                <w:between w:val="nil"/>
              </w:pBdr>
              <w:spacing w:after="160" w:line="276" w:lineRule="auto"/>
              <w:rPr>
                <w:rFonts w:ascii="Garamond" w:eastAsia="Garamond" w:hAnsi="Garamond" w:cs="Garamond"/>
                <w:sz w:val="16"/>
                <w:szCs w:val="16"/>
              </w:rPr>
            </w:pPr>
          </w:p>
          <w:p w14:paraId="591056E6" w14:textId="1ACC183C" w:rsidR="00FC76AF" w:rsidRPr="00BE0D55" w:rsidRDefault="00BE0D55">
            <w:pPr>
              <w:pBdr>
                <w:top w:val="nil"/>
                <w:left w:val="nil"/>
                <w:bottom w:val="nil"/>
                <w:right w:val="nil"/>
                <w:between w:val="nil"/>
              </w:pBdr>
              <w:spacing w:after="160" w:line="276" w:lineRule="auto"/>
              <w:rPr>
                <w:rFonts w:ascii="Garamond" w:eastAsia="Garamond" w:hAnsi="Garamond" w:cs="Garamond"/>
                <w:sz w:val="24"/>
                <w:szCs w:val="24"/>
              </w:rPr>
            </w:pPr>
            <w:r>
              <w:rPr>
                <w:rFonts w:ascii="Garamond" w:eastAsia="Garamond" w:hAnsi="Garamond" w:cs="Garamond"/>
                <w:sz w:val="24"/>
                <w:szCs w:val="24"/>
              </w:rPr>
              <w:t>U</w:t>
            </w:r>
            <w:r w:rsidR="002A4E09">
              <w:rPr>
                <w:rFonts w:ascii="Garamond" w:eastAsia="Garamond" w:hAnsi="Garamond" w:cs="Garamond"/>
                <w:sz w:val="24"/>
                <w:szCs w:val="24"/>
              </w:rPr>
              <w:t xml:space="preserve">tilizzare una comunicazione costruttiva, collaborativa, di reciproco rispetto, di sostegno e fiducia. In particolare si impegnerà a non esprimere giudizi senza conoscere realmente persone o cose. Il filo conduttore di tutto l’anno scolastico sarà proprio questo, #senzagiudizio. </w:t>
            </w:r>
          </w:p>
        </w:tc>
      </w:tr>
    </w:tbl>
    <w:p w14:paraId="2A309585" w14:textId="77777777" w:rsidR="00FC76AF" w:rsidRDefault="00FC76AF">
      <w:pPr>
        <w:pBdr>
          <w:top w:val="nil"/>
          <w:left w:val="nil"/>
          <w:bottom w:val="nil"/>
          <w:right w:val="nil"/>
          <w:between w:val="nil"/>
        </w:pBdr>
        <w:spacing w:after="160" w:line="276" w:lineRule="auto"/>
        <w:ind w:left="720"/>
        <w:rPr>
          <w:rFonts w:ascii="Garamond" w:eastAsia="Garamond" w:hAnsi="Garamond" w:cs="Garamond"/>
          <w:color w:val="000000"/>
          <w:sz w:val="24"/>
          <w:szCs w:val="24"/>
        </w:rPr>
      </w:pPr>
    </w:p>
    <w:sectPr w:rsidR="00FC76AF" w:rsidSect="001573F0">
      <w:headerReference w:type="default" r:id="rId13"/>
      <w:pgSz w:w="11906" w:h="16838"/>
      <w:pgMar w:top="709" w:right="707" w:bottom="851" w:left="709" w:header="397"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2161" w14:textId="77777777" w:rsidR="00C81C29" w:rsidRDefault="00C81C29">
      <w:r>
        <w:separator/>
      </w:r>
    </w:p>
  </w:endnote>
  <w:endnote w:type="continuationSeparator" w:id="0">
    <w:p w14:paraId="03566013" w14:textId="77777777" w:rsidR="00C81C29" w:rsidRDefault="00C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BCBE" w14:textId="77777777" w:rsidR="0037475A" w:rsidRDefault="003747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1BF" w14:textId="77777777" w:rsidR="00FC76AF" w:rsidRDefault="002A4E09">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E0D55">
      <w:rPr>
        <w:noProof/>
        <w:color w:val="000000"/>
        <w:sz w:val="24"/>
        <w:szCs w:val="24"/>
      </w:rPr>
      <w:t>1</w:t>
    </w:r>
    <w:r>
      <w:rPr>
        <w:color w:val="000000"/>
        <w:sz w:val="24"/>
        <w:szCs w:val="24"/>
      </w:rPr>
      <w:fldChar w:fldCharType="end"/>
    </w:r>
  </w:p>
  <w:p w14:paraId="78E930D4" w14:textId="77777777" w:rsidR="00FC76AF" w:rsidRDefault="00FC76AF">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52AC" w14:textId="77777777" w:rsidR="0037475A" w:rsidRDefault="003747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D217" w14:textId="77777777" w:rsidR="00C81C29" w:rsidRDefault="00C81C29">
      <w:r>
        <w:separator/>
      </w:r>
    </w:p>
  </w:footnote>
  <w:footnote w:type="continuationSeparator" w:id="0">
    <w:p w14:paraId="60EC1C85" w14:textId="77777777" w:rsidR="00C81C29" w:rsidRDefault="00C8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C89A" w14:textId="77777777" w:rsidR="0037475A" w:rsidRDefault="003747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jc w:val="center"/>
      <w:tblLayout w:type="fixed"/>
      <w:tblLook w:val="0000" w:firstRow="0" w:lastRow="0" w:firstColumn="0" w:lastColumn="0" w:noHBand="0" w:noVBand="0"/>
    </w:tblPr>
    <w:tblGrid>
      <w:gridCol w:w="2355"/>
      <w:gridCol w:w="5903"/>
      <w:gridCol w:w="2389"/>
    </w:tblGrid>
    <w:tr w:rsidR="0037475A" w14:paraId="70A23EB0" w14:textId="77777777" w:rsidTr="00D853A3">
      <w:trPr>
        <w:trHeight w:val="1080"/>
        <w:jc w:val="center"/>
      </w:trPr>
      <w:tc>
        <w:tcPr>
          <w:tcW w:w="2355" w:type="dxa"/>
          <w:shd w:val="clear" w:color="auto" w:fill="auto"/>
        </w:tcPr>
        <w:p w14:paraId="2EFE6CF0" w14:textId="3F9B24E8" w:rsidR="0037475A" w:rsidRDefault="0037475A" w:rsidP="0037475A">
          <w:pPr>
            <w:pStyle w:val="Intestazione"/>
            <w:snapToGrid w:val="0"/>
          </w:pPr>
          <w:r>
            <w:rPr>
              <w:noProof/>
            </w:rPr>
            <w:drawing>
              <wp:inline distT="0" distB="0" distL="0" distR="0" wp14:anchorId="360E7AC0" wp14:editId="37E0A15C">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5903" w:type="dxa"/>
          <w:shd w:val="clear" w:color="auto" w:fill="auto"/>
        </w:tcPr>
        <w:p w14:paraId="71A5FF03" w14:textId="7D6DE69E" w:rsidR="0037475A" w:rsidRDefault="0037475A" w:rsidP="0037475A">
          <w:pPr>
            <w:snapToGrid w:val="0"/>
            <w:jc w:val="center"/>
            <w:rPr>
              <w:i/>
            </w:rPr>
          </w:pPr>
          <w:r>
            <w:rPr>
              <w:noProof/>
            </w:rPr>
            <w:drawing>
              <wp:inline distT="0" distB="0" distL="0" distR="0" wp14:anchorId="6487F8C8" wp14:editId="274E2F00">
                <wp:extent cx="546100" cy="6223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08350F67" w14:textId="77777777" w:rsidR="0037475A" w:rsidRDefault="0037475A" w:rsidP="0037475A">
          <w:pPr>
            <w:pStyle w:val="Intestazione"/>
            <w:jc w:val="center"/>
          </w:pPr>
          <w:r>
            <w:rPr>
              <w:i/>
            </w:rPr>
            <w:t>Ministero dell’Istruzione</w:t>
          </w:r>
        </w:p>
      </w:tc>
      <w:tc>
        <w:tcPr>
          <w:tcW w:w="2389" w:type="dxa"/>
          <w:shd w:val="clear" w:color="auto" w:fill="auto"/>
        </w:tcPr>
        <w:p w14:paraId="769C98E3" w14:textId="6BBD03FA" w:rsidR="0037475A" w:rsidRDefault="0037475A" w:rsidP="0037475A">
          <w:pPr>
            <w:pStyle w:val="Intestazione"/>
            <w:snapToGrid w:val="0"/>
            <w:jc w:val="right"/>
          </w:pPr>
          <w:r>
            <w:rPr>
              <w:noProof/>
            </w:rPr>
            <w:drawing>
              <wp:inline distT="0" distB="0" distL="0" distR="0" wp14:anchorId="4F5FF31D" wp14:editId="436DF0D5">
                <wp:extent cx="857250" cy="768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57250" cy="768350"/>
                        </a:xfrm>
                        <a:prstGeom prst="rect">
                          <a:avLst/>
                        </a:prstGeom>
                        <a:solidFill>
                          <a:srgbClr val="FFFFFF">
                            <a:alpha val="0"/>
                          </a:srgbClr>
                        </a:solidFill>
                        <a:ln>
                          <a:noFill/>
                        </a:ln>
                      </pic:spPr>
                    </pic:pic>
                  </a:graphicData>
                </a:graphic>
              </wp:inline>
            </w:drawing>
          </w:r>
        </w:p>
      </w:tc>
    </w:tr>
    <w:tr w:rsidR="0037475A" w14:paraId="75E6648F" w14:textId="77777777" w:rsidTr="0037475A">
      <w:trPr>
        <w:trHeight w:val="478"/>
        <w:jc w:val="center"/>
      </w:trPr>
      <w:tc>
        <w:tcPr>
          <w:tcW w:w="2355" w:type="dxa"/>
          <w:shd w:val="clear" w:color="auto" w:fill="auto"/>
        </w:tcPr>
        <w:p w14:paraId="1B4BDA74" w14:textId="77777777" w:rsidR="0037475A" w:rsidRDefault="0037475A" w:rsidP="0037475A">
          <w:pPr>
            <w:pStyle w:val="Intestazione"/>
            <w:snapToGrid w:val="0"/>
            <w:jc w:val="center"/>
          </w:pPr>
        </w:p>
      </w:tc>
      <w:tc>
        <w:tcPr>
          <w:tcW w:w="5903" w:type="dxa"/>
          <w:shd w:val="clear" w:color="auto" w:fill="auto"/>
        </w:tcPr>
        <w:p w14:paraId="48085900" w14:textId="77777777" w:rsidR="0037475A" w:rsidRDefault="0037475A" w:rsidP="0037475A">
          <w:pPr>
            <w:pStyle w:val="Titolo10"/>
            <w:spacing w:before="0"/>
          </w:pPr>
          <w:r>
            <w:rPr>
              <w:rFonts w:ascii="Cambria" w:hAnsi="Cambria" w:cs="Cambria"/>
            </w:rPr>
            <w:t>CIRCOLO DIDATTICO 6 RIMINI</w:t>
          </w:r>
        </w:p>
      </w:tc>
      <w:tc>
        <w:tcPr>
          <w:tcW w:w="2389" w:type="dxa"/>
          <w:shd w:val="clear" w:color="auto" w:fill="auto"/>
        </w:tcPr>
        <w:p w14:paraId="034B2C12" w14:textId="77777777" w:rsidR="0037475A" w:rsidRDefault="0037475A" w:rsidP="0037475A">
          <w:pPr>
            <w:pStyle w:val="Intestazione"/>
            <w:snapToGrid w:val="0"/>
            <w:jc w:val="center"/>
            <w:rPr>
              <w:rFonts w:cs="Cambria"/>
              <w:sz w:val="32"/>
              <w:szCs w:val="32"/>
            </w:rPr>
          </w:pPr>
        </w:p>
      </w:tc>
    </w:tr>
  </w:tbl>
  <w:p w14:paraId="5F868EBC" w14:textId="1D506920" w:rsidR="00FC76AF" w:rsidRPr="00BE0D55" w:rsidRDefault="00FC76AF" w:rsidP="00BE0D5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161" w14:textId="77777777" w:rsidR="0037475A" w:rsidRDefault="0037475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D216" w14:textId="77777777" w:rsidR="00BE0D55" w:rsidRPr="00BE0D55" w:rsidRDefault="00BE0D55" w:rsidP="00BE0D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1DF"/>
    <w:multiLevelType w:val="multilevel"/>
    <w:tmpl w:val="58EA80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405717A4"/>
    <w:multiLevelType w:val="multilevel"/>
    <w:tmpl w:val="D46A98F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2F338E3"/>
    <w:multiLevelType w:val="multilevel"/>
    <w:tmpl w:val="3B7A2EBE"/>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478D2B8D"/>
    <w:multiLevelType w:val="multilevel"/>
    <w:tmpl w:val="BD24B680"/>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AF"/>
    <w:rsid w:val="001573F0"/>
    <w:rsid w:val="002A4E09"/>
    <w:rsid w:val="0037475A"/>
    <w:rsid w:val="008F1900"/>
    <w:rsid w:val="00A745A3"/>
    <w:rsid w:val="00BE0D55"/>
    <w:rsid w:val="00C81C29"/>
    <w:rsid w:val="00FC7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59C8"/>
  <w15:docId w15:val="{634D1DCC-0A81-4D58-8FC3-94A39164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BE0D55"/>
    <w:pPr>
      <w:tabs>
        <w:tab w:val="center" w:pos="4819"/>
        <w:tab w:val="right" w:pos="9638"/>
      </w:tabs>
    </w:pPr>
  </w:style>
  <w:style w:type="character" w:customStyle="1" w:styleId="IntestazioneCarattere">
    <w:name w:val="Intestazione Carattere"/>
    <w:basedOn w:val="Carpredefinitoparagrafo"/>
    <w:link w:val="Intestazione"/>
    <w:uiPriority w:val="99"/>
    <w:rsid w:val="00BE0D55"/>
  </w:style>
  <w:style w:type="paragraph" w:styleId="Pidipagina">
    <w:name w:val="footer"/>
    <w:basedOn w:val="Normale"/>
    <w:link w:val="PidipaginaCarattere"/>
    <w:uiPriority w:val="99"/>
    <w:unhideWhenUsed/>
    <w:rsid w:val="00BE0D55"/>
    <w:pPr>
      <w:tabs>
        <w:tab w:val="center" w:pos="4819"/>
        <w:tab w:val="right" w:pos="9638"/>
      </w:tabs>
    </w:pPr>
  </w:style>
  <w:style w:type="character" w:customStyle="1" w:styleId="PidipaginaCarattere">
    <w:name w:val="Piè di pagina Carattere"/>
    <w:basedOn w:val="Carpredefinitoparagrafo"/>
    <w:link w:val="Pidipagina"/>
    <w:uiPriority w:val="99"/>
    <w:rsid w:val="00BE0D55"/>
  </w:style>
  <w:style w:type="paragraph" w:customStyle="1" w:styleId="Titolo10">
    <w:name w:val="Titolo1"/>
    <w:basedOn w:val="Normale"/>
    <w:next w:val="Normale"/>
    <w:rsid w:val="0037475A"/>
    <w:pPr>
      <w:suppressAutoHyphens/>
      <w:spacing w:before="240" w:after="60"/>
      <w:jc w:val="center"/>
    </w:pPr>
    <w:rPr>
      <w:rFonts w:ascii="Calibri Light" w:hAnsi="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2079</Words>
  <Characters>11852</Characters>
  <Application>Microsoft Office Word</Application>
  <DocSecurity>0</DocSecurity>
  <Lines>98</Lines>
  <Paragraphs>27</Paragraphs>
  <ScaleCrop>false</ScaleCrop>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 maggioli</dc:creator>
  <cp:lastModifiedBy>nicoletta maggioli</cp:lastModifiedBy>
  <cp:revision>5</cp:revision>
  <dcterms:created xsi:type="dcterms:W3CDTF">2021-10-13T19:37:00Z</dcterms:created>
  <dcterms:modified xsi:type="dcterms:W3CDTF">2021-10-16T21:30:00Z</dcterms:modified>
</cp:coreProperties>
</file>