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14EF" w14:textId="77777777" w:rsidR="00906046"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2D43F5DC" w14:textId="77777777" w:rsidR="00906046"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Pr>
          <w:rFonts w:ascii="Garamond" w:eastAsia="Garamond" w:hAnsi="Garamond" w:cs="Garamond"/>
          <w:sz w:val="32"/>
          <w:szCs w:val="32"/>
        </w:rPr>
        <w:t>Albero dei bambini</w:t>
      </w:r>
      <w:r>
        <w:rPr>
          <w:rFonts w:ascii="Garamond" w:eastAsia="Garamond" w:hAnsi="Garamond" w:cs="Garamond"/>
          <w:color w:val="000000"/>
          <w:sz w:val="32"/>
          <w:szCs w:val="32"/>
        </w:rPr>
        <w:t>”</w:t>
      </w:r>
    </w:p>
    <w:p w14:paraId="233BB504" w14:textId="77777777" w:rsidR="00906046" w:rsidRDefault="00906046">
      <w:pPr>
        <w:pBdr>
          <w:top w:val="nil"/>
          <w:left w:val="nil"/>
          <w:bottom w:val="nil"/>
          <w:right w:val="nil"/>
          <w:between w:val="nil"/>
        </w:pBdr>
        <w:jc w:val="center"/>
        <w:rPr>
          <w:rFonts w:ascii="Calibri" w:eastAsia="Calibri" w:hAnsi="Calibri" w:cs="Calibri"/>
          <w:b/>
          <w:color w:val="000000"/>
          <w:sz w:val="28"/>
          <w:szCs w:val="28"/>
        </w:rPr>
      </w:pPr>
    </w:p>
    <w:p w14:paraId="449C27DB" w14:textId="77777777" w:rsidR="00906046"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35B1C863" w14:textId="77777777" w:rsidR="00906046" w:rsidRDefault="00906046">
      <w:pPr>
        <w:pBdr>
          <w:top w:val="nil"/>
          <w:left w:val="nil"/>
          <w:bottom w:val="nil"/>
          <w:right w:val="nil"/>
          <w:between w:val="nil"/>
        </w:pBdr>
        <w:spacing w:line="276" w:lineRule="auto"/>
        <w:rPr>
          <w:rFonts w:ascii="Garamond" w:eastAsia="Garamond" w:hAnsi="Garamond" w:cs="Garamond"/>
          <w:color w:val="000000"/>
          <w:sz w:val="16"/>
          <w:szCs w:val="16"/>
        </w:rPr>
      </w:pPr>
    </w:p>
    <w:p w14:paraId="006150EA" w14:textId="77777777" w:rsidR="00906046"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069D768" w14:textId="77777777" w:rsidR="00906046"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77985AD" w14:textId="77777777" w:rsidR="00906046"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3C0A1E5B" w14:textId="77777777" w:rsidR="00906046"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6B3B6119" w14:textId="77777777" w:rsidR="00906046"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6008E654" w14:textId="77777777" w:rsidR="00906046"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5079143C" w14:textId="77777777" w:rsidR="00906046" w:rsidRDefault="00906046">
      <w:pPr>
        <w:pBdr>
          <w:top w:val="nil"/>
          <w:left w:val="nil"/>
          <w:bottom w:val="nil"/>
          <w:right w:val="nil"/>
          <w:between w:val="nil"/>
        </w:pBdr>
        <w:jc w:val="both"/>
        <w:rPr>
          <w:rFonts w:ascii="Garamond" w:eastAsia="Garamond" w:hAnsi="Garamond" w:cs="Garamond"/>
          <w:color w:val="000000"/>
          <w:sz w:val="16"/>
          <w:szCs w:val="16"/>
          <w:u w:val="single"/>
        </w:rPr>
      </w:pPr>
    </w:p>
    <w:p w14:paraId="500A14F7" w14:textId="77777777" w:rsidR="00906046"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2DD33966" w14:textId="77777777" w:rsidR="00906046" w:rsidRDefault="00906046">
      <w:pPr>
        <w:pBdr>
          <w:top w:val="nil"/>
          <w:left w:val="nil"/>
          <w:bottom w:val="nil"/>
          <w:right w:val="nil"/>
          <w:between w:val="nil"/>
        </w:pBdr>
        <w:jc w:val="both"/>
        <w:rPr>
          <w:rFonts w:ascii="Garamond" w:eastAsia="Garamond" w:hAnsi="Garamond" w:cs="Garamond"/>
          <w:color w:val="000000"/>
          <w:sz w:val="16"/>
          <w:szCs w:val="16"/>
          <w:u w:val="single"/>
        </w:rPr>
      </w:pPr>
    </w:p>
    <w:p w14:paraId="1B4DC696" w14:textId="77777777" w:rsidR="00906046"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1C83BBE"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49A893EE" w14:textId="77777777" w:rsidR="00906046"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33FFC3B" w14:textId="77777777" w:rsidR="00906046" w:rsidRPr="00543CD1" w:rsidRDefault="00906046">
      <w:pPr>
        <w:pBdr>
          <w:top w:val="nil"/>
          <w:left w:val="nil"/>
          <w:bottom w:val="nil"/>
          <w:right w:val="nil"/>
          <w:between w:val="nil"/>
        </w:pBdr>
        <w:spacing w:line="276" w:lineRule="auto"/>
        <w:jc w:val="both"/>
        <w:rPr>
          <w:rFonts w:ascii="Garamond" w:eastAsia="Garamond" w:hAnsi="Garamond" w:cs="Garamond"/>
          <w:color w:val="000000"/>
          <w:sz w:val="16"/>
          <w:szCs w:val="16"/>
        </w:rPr>
      </w:pPr>
    </w:p>
    <w:p w14:paraId="0EDFA623" w14:textId="77777777" w:rsidR="00906046"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Primaria</w:t>
      </w:r>
    </w:p>
    <w:p w14:paraId="6683CE29" w14:textId="77777777" w:rsidR="00543CD1" w:rsidRDefault="00543CD1" w:rsidP="00543CD1">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chiunque abbia sintomatologia compatibile con Covid-19 o temperatura superiore a 37,5°C, dovrà restare a casa.</w:t>
      </w:r>
    </w:p>
    <w:p w14:paraId="5D58A09F" w14:textId="5ECE3EEF" w:rsidR="00543CD1" w:rsidRDefault="00543CD1">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543CD1">
          <w:headerReference w:type="default" r:id="rId7"/>
          <w:footerReference w:type="default" r:id="rId8"/>
          <w:pgSz w:w="11906" w:h="16838"/>
          <w:pgMar w:top="851" w:right="849" w:bottom="851" w:left="851" w:header="397" w:footer="283" w:gutter="0"/>
          <w:pgNumType w:start="1"/>
          <w:cols w:space="720"/>
        </w:sectPr>
      </w:pPr>
    </w:p>
    <w:p w14:paraId="15F26826" w14:textId="77777777" w:rsidR="00906046"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lastRenderedPageBreak/>
        <w:tab/>
        <w:t>In estrema sintesi e senza pretesa di completezza, per la scuola primaria le misure di prevenzione di base per la ripresa scolastica sono:</w:t>
      </w:r>
    </w:p>
    <w:p w14:paraId="0F9235AD" w14:textId="77777777" w:rsidR="00906046" w:rsidRDefault="00000000">
      <w:pPr>
        <w:numPr>
          <w:ilvl w:val="0"/>
          <w:numId w:val="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7721F1D8" w14:textId="77777777" w:rsidR="00906046"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C47D24E" w14:textId="77777777" w:rsidR="00906046" w:rsidRDefault="00000000">
      <w:pPr>
        <w:numPr>
          <w:ilvl w:val="0"/>
          <w:numId w:val="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1A5BF30C" w14:textId="77777777" w:rsidR="00906046"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487DED0" w14:textId="77777777" w:rsidR="00906046"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7B7BA807" w14:textId="77777777" w:rsidR="00906046" w:rsidRDefault="00000000">
      <w:pPr>
        <w:numPr>
          <w:ilvl w:val="0"/>
          <w:numId w:val="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51EA05E9" w14:textId="77777777" w:rsidR="00906046" w:rsidRDefault="00906046">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19F18EBE" w14:textId="77777777" w:rsidR="00906046"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62FDD35B" w14:textId="77777777" w:rsidR="00906046" w:rsidRDefault="00000000">
      <w:pPr>
        <w:numPr>
          <w:ilvl w:val="0"/>
          <w:numId w:val="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3EA23D13" w14:textId="77777777" w:rsidR="00906046" w:rsidRDefault="00000000">
      <w:pPr>
        <w:numPr>
          <w:ilvl w:val="0"/>
          <w:numId w:val="7"/>
        </w:numPr>
        <w:pBdr>
          <w:top w:val="nil"/>
          <w:left w:val="nil"/>
          <w:bottom w:val="nil"/>
          <w:right w:val="nil"/>
          <w:between w:val="nil"/>
        </w:pBdr>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710DD4C5" w14:textId="77777777" w:rsidR="00906046" w:rsidRDefault="00000000">
      <w:pPr>
        <w:numPr>
          <w:ilvl w:val="0"/>
          <w:numId w:val="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3AA885B9" w14:textId="77777777" w:rsidR="00906046" w:rsidRDefault="0090604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E1EE34B"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202B353" w14:textId="77777777" w:rsidR="00906046"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2CA65364" w14:textId="77777777" w:rsidR="00906046" w:rsidRDefault="00906046">
      <w:pPr>
        <w:pBdr>
          <w:top w:val="nil"/>
          <w:left w:val="nil"/>
          <w:bottom w:val="nil"/>
          <w:right w:val="nil"/>
          <w:between w:val="nil"/>
        </w:pBdr>
        <w:spacing w:line="276" w:lineRule="auto"/>
        <w:jc w:val="both"/>
        <w:rPr>
          <w:color w:val="000000"/>
          <w:sz w:val="16"/>
          <w:szCs w:val="16"/>
        </w:rPr>
      </w:pPr>
    </w:p>
    <w:p w14:paraId="03D9EDD0" w14:textId="77777777" w:rsidR="00906046"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5A84E6CE" w14:textId="77777777" w:rsidR="00906046"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3797470D" w14:textId="77777777" w:rsidR="00906046"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418D8BE0" w14:textId="77777777" w:rsidR="00906046"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6E3BD528" w14:textId="77777777" w:rsidR="00906046"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086D55FF" w14:textId="77777777" w:rsidR="00906046"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6588D1DB" w14:textId="77777777" w:rsidR="00906046"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4CE79D91" w14:textId="77777777" w:rsidR="00906046"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6C94A9CD" w14:textId="77777777" w:rsidR="00906046" w:rsidRDefault="00906046">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1E430D6B" w14:textId="77777777" w:rsidR="00906046"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0D6683BD"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30D8902D"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F1FCFC2"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02723546"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72727234"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B942271"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6CFA02AB"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4E454E1C"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53D268E7" w14:textId="77777777" w:rsidR="00906046" w:rsidRDefault="00906046">
      <w:pPr>
        <w:pBdr>
          <w:top w:val="nil"/>
          <w:left w:val="nil"/>
          <w:bottom w:val="nil"/>
          <w:right w:val="nil"/>
          <w:between w:val="nil"/>
        </w:pBdr>
        <w:spacing w:line="276" w:lineRule="auto"/>
        <w:jc w:val="both"/>
        <w:rPr>
          <w:rFonts w:ascii="Garamond" w:eastAsia="Garamond" w:hAnsi="Garamond" w:cs="Garamond"/>
          <w:color w:val="000000"/>
          <w:sz w:val="24"/>
          <w:szCs w:val="24"/>
        </w:rPr>
      </w:pPr>
    </w:p>
    <w:p w14:paraId="4A0F52DD" w14:textId="77777777" w:rsidR="00906046"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48EAC62C"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71C1504F"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2032EE19"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5CE4F13F" w14:textId="77777777" w:rsidR="00906046" w:rsidRDefault="00906046">
      <w:pPr>
        <w:pBdr>
          <w:top w:val="nil"/>
          <w:left w:val="nil"/>
          <w:bottom w:val="nil"/>
          <w:right w:val="nil"/>
          <w:between w:val="nil"/>
        </w:pBdr>
        <w:spacing w:line="276" w:lineRule="auto"/>
        <w:jc w:val="both"/>
        <w:rPr>
          <w:rFonts w:ascii="Garamond" w:eastAsia="Garamond" w:hAnsi="Garamond" w:cs="Garamond"/>
          <w:color w:val="000000"/>
          <w:sz w:val="24"/>
          <w:szCs w:val="24"/>
        </w:rPr>
      </w:pPr>
    </w:p>
    <w:p w14:paraId="5607F89E" w14:textId="77777777" w:rsidR="00906046"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AD9B379" w14:textId="77777777" w:rsidR="00906046"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5CC6D5EA" w14:textId="77777777" w:rsidR="00906046"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3094B3F" w14:textId="77777777" w:rsidR="00906046"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2698968A" w14:textId="77777777" w:rsidR="00906046"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46D40021" w14:textId="77777777" w:rsidR="00906046"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4E15BD37" w14:textId="77777777" w:rsidR="00906046"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3308CEE8" w14:textId="77777777" w:rsidR="00906046" w:rsidRDefault="00906046">
      <w:pPr>
        <w:pBdr>
          <w:top w:val="nil"/>
          <w:left w:val="nil"/>
          <w:bottom w:val="nil"/>
          <w:right w:val="nil"/>
          <w:between w:val="nil"/>
        </w:pBdr>
        <w:spacing w:line="276" w:lineRule="auto"/>
        <w:jc w:val="both"/>
        <w:rPr>
          <w:rFonts w:ascii="Garamond" w:eastAsia="Garamond" w:hAnsi="Garamond" w:cs="Garamond"/>
          <w:color w:val="000000"/>
          <w:sz w:val="24"/>
          <w:szCs w:val="24"/>
        </w:rPr>
      </w:pPr>
    </w:p>
    <w:p w14:paraId="73F671A5" w14:textId="77777777"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5072BF33" w14:textId="04045DD3" w:rsidR="00906046"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36900759" w14:textId="77777777" w:rsidR="001F727A" w:rsidRDefault="001F727A">
      <w:pPr>
        <w:pBdr>
          <w:top w:val="nil"/>
          <w:left w:val="nil"/>
          <w:bottom w:val="nil"/>
          <w:right w:val="nil"/>
          <w:between w:val="nil"/>
        </w:pBdr>
        <w:spacing w:line="276" w:lineRule="auto"/>
        <w:jc w:val="both"/>
        <w:rPr>
          <w:rFonts w:ascii="Garamond" w:eastAsia="Garamond" w:hAnsi="Garamond" w:cs="Garamond"/>
          <w:color w:val="000000"/>
          <w:sz w:val="24"/>
          <w:szCs w:val="24"/>
        </w:rPr>
      </w:pPr>
    </w:p>
    <w:p w14:paraId="5D1DF5E5" w14:textId="77777777" w:rsidR="00906046" w:rsidRDefault="00906046">
      <w:pPr>
        <w:pBdr>
          <w:top w:val="nil"/>
          <w:left w:val="nil"/>
          <w:bottom w:val="nil"/>
          <w:right w:val="nil"/>
          <w:between w:val="nil"/>
        </w:pBdr>
        <w:jc w:val="both"/>
        <w:rPr>
          <w:rFonts w:ascii="Garamond" w:eastAsia="Garamond" w:hAnsi="Garamond" w:cs="Garamond"/>
          <w:color w:val="000000"/>
          <w:sz w:val="24"/>
          <w:szCs w:val="24"/>
        </w:rPr>
      </w:pPr>
    </w:p>
    <w:p w14:paraId="616F4162" w14:textId="77777777" w:rsidR="00906046"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042C3BB9"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2FFBE9FF"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E4CA18B"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0CDE3D65"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44E614BF"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49B6C10C"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0318C527"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685009D6"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61963813" w14:textId="77777777" w:rsidR="00906046"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5AF21FDF" w14:textId="77777777" w:rsidR="00906046" w:rsidRDefault="00000000">
      <w:pPr>
        <w:numPr>
          <w:ilvl w:val="0"/>
          <w:numId w:val="6"/>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15BD883A" w14:textId="77777777" w:rsidR="00906046" w:rsidRDefault="00000000">
      <w:pPr>
        <w:numPr>
          <w:ilvl w:val="0"/>
          <w:numId w:val="6"/>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231FE739" w14:textId="77777777" w:rsidR="00906046" w:rsidRDefault="00000000">
      <w:pPr>
        <w:numPr>
          <w:ilvl w:val="0"/>
          <w:numId w:val="6"/>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19F63A7E" w14:textId="77777777" w:rsidR="00906046" w:rsidRDefault="00906046">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162EC3E0" w14:textId="77777777" w:rsidR="00906046"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1B1D2286"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47C2205B"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7D602D4E"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6DB6F8E7"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1F77A198"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4B7EF872"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610DF80A"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6FF19489"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21DC441B"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1A2D8EDC"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60CE5999" w14:textId="77777777" w:rsidR="00906046" w:rsidRDefault="0090604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7502DF4" w14:textId="77777777" w:rsidR="00906046"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9FFCEA6"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5A76416"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1B77927"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6AFD337"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4246BD2C"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2ED412CF"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18E2502A" w14:textId="77777777" w:rsidR="00906046" w:rsidRDefault="00000000">
      <w:pPr>
        <w:numPr>
          <w:ilvl w:val="2"/>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3D2A213E" w14:textId="77777777" w:rsidR="00906046" w:rsidRDefault="00000000">
      <w:pPr>
        <w:numPr>
          <w:ilvl w:val="2"/>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44A1407" w14:textId="77777777" w:rsidR="00906046" w:rsidRDefault="00000000">
      <w:pPr>
        <w:numPr>
          <w:ilvl w:val="2"/>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78EF1579" w14:textId="77777777" w:rsidR="00906046" w:rsidRDefault="00000000">
      <w:pPr>
        <w:numPr>
          <w:ilvl w:val="2"/>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717C75C"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647C666"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7A9316CF"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77DF08A5"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425B8F1D"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4D8E1809"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5F3CFC91"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1B224B6"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6A373261"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6294B264" w14:textId="77777777" w:rsidR="00906046" w:rsidRDefault="00000000">
      <w:pPr>
        <w:numPr>
          <w:ilvl w:val="0"/>
          <w:numId w:val="4"/>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7D8C8988" w14:textId="77777777" w:rsidR="00906046" w:rsidRDefault="00906046">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13851321" w14:textId="77777777" w:rsidR="00906046" w:rsidRDefault="00000000">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733BA20A"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51C45DA8"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7549D1F7"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2C08EC10" w14:textId="77777777" w:rsidR="00906046"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6D54FB0D" w14:textId="77777777" w:rsidR="00906046" w:rsidRDefault="0090604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030085F" w14:textId="77777777" w:rsidR="00906046" w:rsidRDefault="00000000">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w:t>
      </w:r>
      <w:r>
        <w:rPr>
          <w:rFonts w:ascii="Garamond" w:eastAsia="Garamond" w:hAnsi="Garamond" w:cs="Garamond"/>
          <w:b/>
          <w:sz w:val="24"/>
          <w:szCs w:val="24"/>
        </w:rPr>
        <w:t>sezione delle “Coccinelle”</w:t>
      </w:r>
      <w:r>
        <w:rPr>
          <w:rFonts w:ascii="Garamond" w:eastAsia="Garamond" w:hAnsi="Garamond" w:cs="Garamond"/>
          <w:b/>
          <w:color w:val="000000"/>
          <w:sz w:val="24"/>
          <w:szCs w:val="24"/>
        </w:rPr>
        <w:t xml:space="preserve"> si impegna a:</w:t>
      </w: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906046" w14:paraId="01B8DC0F" w14:textId="77777777">
        <w:tc>
          <w:tcPr>
            <w:tcW w:w="10091" w:type="dxa"/>
          </w:tcPr>
          <w:p w14:paraId="3514A8E0" w14:textId="77777777" w:rsidR="001F727A" w:rsidRDefault="001F727A">
            <w:pPr>
              <w:spacing w:line="276" w:lineRule="auto"/>
              <w:jc w:val="both"/>
              <w:rPr>
                <w:rFonts w:ascii="Garamond" w:eastAsia="Garamond" w:hAnsi="Garamond" w:cs="Garamond"/>
                <w:color w:val="000000"/>
                <w:sz w:val="24"/>
                <w:szCs w:val="24"/>
              </w:rPr>
            </w:pPr>
          </w:p>
          <w:p w14:paraId="218D13C1" w14:textId="77777777" w:rsidR="00906046" w:rsidRDefault="00000000">
            <w:pPr>
              <w:spacing w:line="276" w:lineRule="auto"/>
              <w:jc w:val="both"/>
              <w:rPr>
                <w:rFonts w:ascii="Garamond" w:eastAsia="Garamond" w:hAnsi="Garamond" w:cs="Garamond"/>
                <w:color w:val="000000"/>
                <w:sz w:val="24"/>
                <w:szCs w:val="24"/>
              </w:rPr>
            </w:pPr>
            <w:r w:rsidRPr="001F727A">
              <w:rPr>
                <w:rFonts w:ascii="Garamond" w:eastAsia="Garamond" w:hAnsi="Garamond" w:cs="Garamond"/>
                <w:color w:val="000000"/>
                <w:sz w:val="24"/>
                <w:szCs w:val="24"/>
              </w:rPr>
              <w:t>Attraverso l'osservazione, il rispetto e la salvaguardia degli ecosistemi naturali, di quanto succede nel quotidiano, affrontare, come momento condiviso di crescita, l'emozione della paura, esprimendo il proprio vissuto interiore, sviluppando le capacità di ascolto, accettazione, accoglienza e resilienza preservando al contempo, in una sana e responsabile convivenza, noi e il pianeta Terra.</w:t>
            </w:r>
          </w:p>
          <w:p w14:paraId="7DBE1F04" w14:textId="749F625A" w:rsidR="001F727A" w:rsidRDefault="001F727A">
            <w:pPr>
              <w:spacing w:line="276" w:lineRule="auto"/>
              <w:jc w:val="both"/>
              <w:rPr>
                <w:rFonts w:ascii="Garamond" w:eastAsia="Garamond" w:hAnsi="Garamond" w:cs="Garamond"/>
                <w:sz w:val="24"/>
                <w:szCs w:val="24"/>
              </w:rPr>
            </w:pPr>
          </w:p>
        </w:tc>
      </w:tr>
    </w:tbl>
    <w:p w14:paraId="2BDEEBD0" w14:textId="77777777" w:rsidR="00906046" w:rsidRDefault="00906046">
      <w:pPr>
        <w:pBdr>
          <w:top w:val="nil"/>
          <w:left w:val="nil"/>
          <w:bottom w:val="nil"/>
          <w:right w:val="nil"/>
          <w:between w:val="nil"/>
        </w:pBdr>
        <w:spacing w:after="160" w:line="276" w:lineRule="auto"/>
        <w:rPr>
          <w:rFonts w:ascii="Garamond" w:eastAsia="Garamond" w:hAnsi="Garamond" w:cs="Garamond"/>
          <w:color w:val="000000"/>
          <w:sz w:val="24"/>
          <w:szCs w:val="24"/>
        </w:rPr>
      </w:pPr>
    </w:p>
    <w:sectPr w:rsidR="00906046">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1689" w14:textId="77777777" w:rsidR="0023689C" w:rsidRDefault="0023689C">
      <w:r>
        <w:separator/>
      </w:r>
    </w:p>
  </w:endnote>
  <w:endnote w:type="continuationSeparator" w:id="0">
    <w:p w14:paraId="37B02A6D" w14:textId="77777777" w:rsidR="0023689C" w:rsidRDefault="0023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0E7" w14:textId="77777777" w:rsidR="00906046"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43CD1">
      <w:rPr>
        <w:noProof/>
        <w:color w:val="000000"/>
        <w:sz w:val="24"/>
        <w:szCs w:val="24"/>
      </w:rPr>
      <w:t>1</w:t>
    </w:r>
    <w:r>
      <w:rPr>
        <w:color w:val="000000"/>
        <w:sz w:val="24"/>
        <w:szCs w:val="24"/>
      </w:rPr>
      <w:fldChar w:fldCharType="end"/>
    </w:r>
  </w:p>
  <w:p w14:paraId="748782ED" w14:textId="77777777" w:rsidR="00906046" w:rsidRDefault="0090604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CF40" w14:textId="77777777" w:rsidR="00906046" w:rsidRDefault="00906046">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59C9" w14:textId="77777777" w:rsidR="00906046"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43CD1">
      <w:rPr>
        <w:noProof/>
        <w:color w:val="000000"/>
        <w:sz w:val="24"/>
        <w:szCs w:val="24"/>
      </w:rPr>
      <w:t>2</w:t>
    </w:r>
    <w:r>
      <w:rPr>
        <w:color w:val="000000"/>
        <w:sz w:val="24"/>
        <w:szCs w:val="24"/>
      </w:rPr>
      <w:fldChar w:fldCharType="end"/>
    </w:r>
  </w:p>
  <w:p w14:paraId="2E9A51FB" w14:textId="77777777" w:rsidR="00906046" w:rsidRDefault="00906046">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08D2" w14:textId="77777777" w:rsidR="00906046" w:rsidRDefault="00906046">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3894" w14:textId="77777777" w:rsidR="0023689C" w:rsidRDefault="0023689C">
      <w:r>
        <w:separator/>
      </w:r>
    </w:p>
  </w:footnote>
  <w:footnote w:type="continuationSeparator" w:id="0">
    <w:p w14:paraId="5224712F" w14:textId="77777777" w:rsidR="0023689C" w:rsidRDefault="0023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A791" w14:textId="77777777" w:rsidR="00906046" w:rsidRDefault="00906046">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906046" w14:paraId="7E2E9C7B" w14:textId="77777777">
      <w:trPr>
        <w:jc w:val="center"/>
      </w:trPr>
      <w:tc>
        <w:tcPr>
          <w:tcW w:w="2376" w:type="dxa"/>
          <w:shd w:val="clear" w:color="auto" w:fill="auto"/>
        </w:tcPr>
        <w:p w14:paraId="3E471209" w14:textId="77777777" w:rsidR="00906046"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1BBADA38" wp14:editId="6A524579">
                <wp:extent cx="800100" cy="742950"/>
                <wp:effectExtent l="0" t="0" r="0" b="0"/>
                <wp:docPr id="1" name="image1.png" descr="download_20180124_214144"/>
                <wp:cNvGraphicFramePr/>
                <a:graphic xmlns:a="http://schemas.openxmlformats.org/drawingml/2006/main">
                  <a:graphicData uri="http://schemas.openxmlformats.org/drawingml/2006/picture">
                    <pic:pic xmlns:pic="http://schemas.openxmlformats.org/drawingml/2006/picture">
                      <pic:nvPicPr>
                        <pic:cNvPr id="0" name="image1.pn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478BAB20" w14:textId="77777777" w:rsidR="00906046" w:rsidRDefault="00000000">
          <w:pPr>
            <w:jc w:val="center"/>
          </w:pPr>
          <w:r>
            <w:rPr>
              <w:noProof/>
            </w:rPr>
            <w:drawing>
              <wp:inline distT="0" distB="0" distL="0" distR="0" wp14:anchorId="71401676" wp14:editId="42AA8F19">
                <wp:extent cx="546100" cy="615950"/>
                <wp:effectExtent l="0" t="0" r="0" b="0"/>
                <wp:docPr id="3" name="image3.png" descr="Repubblica_01"/>
                <wp:cNvGraphicFramePr/>
                <a:graphic xmlns:a="http://schemas.openxmlformats.org/drawingml/2006/main">
                  <a:graphicData uri="http://schemas.openxmlformats.org/drawingml/2006/picture">
                    <pic:pic xmlns:pic="http://schemas.openxmlformats.org/drawingml/2006/picture">
                      <pic:nvPicPr>
                        <pic:cNvPr id="0" name="image3.pn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5430CBE2" w14:textId="77777777" w:rsidR="00906046"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6F0A6E19" w14:textId="77777777" w:rsidR="00906046"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409105" wp14:editId="5C08259C">
                <wp:extent cx="723900" cy="641350"/>
                <wp:effectExtent l="0" t="0" r="0" b="0"/>
                <wp:docPr id="2" name="image2.png" descr="ScuolaAmica_01"/>
                <wp:cNvGraphicFramePr/>
                <a:graphic xmlns:a="http://schemas.openxmlformats.org/drawingml/2006/main">
                  <a:graphicData uri="http://schemas.openxmlformats.org/drawingml/2006/picture">
                    <pic:pic xmlns:pic="http://schemas.openxmlformats.org/drawingml/2006/picture">
                      <pic:nvPicPr>
                        <pic:cNvPr id="0" name="image2.pn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906046" w14:paraId="7156A132" w14:textId="77777777">
      <w:trPr>
        <w:trHeight w:val="598"/>
        <w:jc w:val="center"/>
      </w:trPr>
      <w:tc>
        <w:tcPr>
          <w:tcW w:w="2376" w:type="dxa"/>
          <w:shd w:val="clear" w:color="auto" w:fill="auto"/>
        </w:tcPr>
        <w:p w14:paraId="5D360DFF" w14:textId="77777777" w:rsidR="00906046" w:rsidRDefault="00906046">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7DC3DE74" w14:textId="77777777" w:rsidR="00906046"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5E39FAC8" w14:textId="77777777" w:rsidR="00906046" w:rsidRDefault="00906046">
          <w:pPr>
            <w:pBdr>
              <w:top w:val="nil"/>
              <w:left w:val="nil"/>
              <w:bottom w:val="nil"/>
              <w:right w:val="nil"/>
              <w:between w:val="nil"/>
            </w:pBdr>
            <w:tabs>
              <w:tab w:val="center" w:pos="4819"/>
              <w:tab w:val="right" w:pos="9638"/>
            </w:tabs>
            <w:jc w:val="center"/>
            <w:rPr>
              <w:color w:val="000000"/>
            </w:rPr>
          </w:pPr>
        </w:p>
      </w:tc>
    </w:tr>
  </w:tbl>
  <w:p w14:paraId="2372F380" w14:textId="77777777" w:rsidR="00906046" w:rsidRDefault="0090604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097" w14:textId="77777777" w:rsidR="00906046" w:rsidRDefault="00906046">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6180" w14:textId="77777777" w:rsidR="00906046" w:rsidRDefault="00906046">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9A55" w14:textId="77777777" w:rsidR="00906046" w:rsidRDefault="00906046">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146"/>
    <w:multiLevelType w:val="multilevel"/>
    <w:tmpl w:val="1292B7C2"/>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33562D31"/>
    <w:multiLevelType w:val="multilevel"/>
    <w:tmpl w:val="E87C8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A15D0E"/>
    <w:multiLevelType w:val="multilevel"/>
    <w:tmpl w:val="9E56EC5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A296A9A"/>
    <w:multiLevelType w:val="multilevel"/>
    <w:tmpl w:val="BFBAD64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AF40A51"/>
    <w:multiLevelType w:val="multilevel"/>
    <w:tmpl w:val="A3767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1F10B0"/>
    <w:multiLevelType w:val="multilevel"/>
    <w:tmpl w:val="AE56ADB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6" w15:restartNumberingAfterBreak="0">
    <w:nsid w:val="7A666560"/>
    <w:multiLevelType w:val="multilevel"/>
    <w:tmpl w:val="DA00C0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1076369">
    <w:abstractNumId w:val="4"/>
  </w:num>
  <w:num w:numId="2" w16cid:durableId="1371221696">
    <w:abstractNumId w:val="6"/>
  </w:num>
  <w:num w:numId="3" w16cid:durableId="842935451">
    <w:abstractNumId w:val="5"/>
  </w:num>
  <w:num w:numId="4" w16cid:durableId="2045596501">
    <w:abstractNumId w:val="0"/>
  </w:num>
  <w:num w:numId="5" w16cid:durableId="1964189781">
    <w:abstractNumId w:val="2"/>
  </w:num>
  <w:num w:numId="6" w16cid:durableId="966005269">
    <w:abstractNumId w:val="3"/>
  </w:num>
  <w:num w:numId="7" w16cid:durableId="63360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46"/>
    <w:rsid w:val="001F727A"/>
    <w:rsid w:val="0023689C"/>
    <w:rsid w:val="00543CD1"/>
    <w:rsid w:val="00906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A500"/>
  <w15:docId w15:val="{5B3BC810-7577-496E-8E36-81FE9A65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3CD1"/>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2507</Words>
  <Characters>14295</Characters>
  <Application>Microsoft Office Word</Application>
  <DocSecurity>0</DocSecurity>
  <Lines>119</Lines>
  <Paragraphs>33</Paragraphs>
  <ScaleCrop>false</ScaleCrop>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2022-10-03T20:33:00Z</dcterms:created>
  <dcterms:modified xsi:type="dcterms:W3CDTF">2022-10-03T20:34:00Z</dcterms:modified>
</cp:coreProperties>
</file>